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62B" w:rsidRDefault="007C762B">
      <w:pPr>
        <w:spacing w:before="200"/>
      </w:pPr>
    </w:p>
    <w:p w:rsidR="004A0807" w:rsidRDefault="004A0807">
      <w:pPr>
        <w:spacing w:after="80"/>
        <w:jc w:val="center"/>
        <w:rPr>
          <w:b/>
          <w:bCs/>
          <w:sz w:val="48"/>
          <w:szCs w:val="48"/>
        </w:rPr>
      </w:pPr>
    </w:p>
    <w:p w:rsidR="004A0807" w:rsidRDefault="004A0807">
      <w:pPr>
        <w:spacing w:after="80"/>
        <w:jc w:val="center"/>
        <w:rPr>
          <w:b/>
          <w:bCs/>
          <w:sz w:val="48"/>
          <w:szCs w:val="48"/>
        </w:rPr>
      </w:pPr>
    </w:p>
    <w:p w:rsidR="004A0807" w:rsidRDefault="004A0807">
      <w:pPr>
        <w:spacing w:after="80"/>
        <w:jc w:val="center"/>
        <w:rPr>
          <w:b/>
          <w:bCs/>
          <w:sz w:val="48"/>
          <w:szCs w:val="48"/>
        </w:rPr>
      </w:pPr>
    </w:p>
    <w:p w:rsidR="004A0807" w:rsidRDefault="004A0807">
      <w:pPr>
        <w:spacing w:after="80"/>
        <w:jc w:val="center"/>
        <w:rPr>
          <w:b/>
          <w:bCs/>
          <w:sz w:val="48"/>
          <w:szCs w:val="48"/>
        </w:rPr>
      </w:pPr>
    </w:p>
    <w:p w:rsidR="004A0807" w:rsidRDefault="004A0807">
      <w:pPr>
        <w:spacing w:after="80"/>
        <w:jc w:val="center"/>
        <w:rPr>
          <w:b/>
          <w:bCs/>
          <w:sz w:val="48"/>
          <w:szCs w:val="48"/>
        </w:rPr>
      </w:pPr>
    </w:p>
    <w:p w:rsidR="004A0807" w:rsidRDefault="004A0807">
      <w:pPr>
        <w:spacing w:after="80"/>
        <w:jc w:val="center"/>
        <w:rPr>
          <w:b/>
          <w:bCs/>
          <w:sz w:val="48"/>
          <w:szCs w:val="48"/>
        </w:rPr>
      </w:pPr>
    </w:p>
    <w:p w:rsidR="007C762B" w:rsidRPr="004A0807" w:rsidRDefault="00975E5C">
      <w:pPr>
        <w:spacing w:after="80"/>
        <w:jc w:val="center"/>
        <w:rPr>
          <w:b/>
          <w:bCs/>
          <w:sz w:val="56"/>
          <w:szCs w:val="56"/>
        </w:rPr>
      </w:pPr>
      <w:r w:rsidRPr="004A0807">
        <w:rPr>
          <w:b/>
          <w:bCs/>
          <w:sz w:val="56"/>
          <w:szCs w:val="56"/>
        </w:rPr>
        <w:t>NONPROFIT BUDGETING GUIDE</w:t>
      </w:r>
    </w:p>
    <w:p w:rsidR="004A0807" w:rsidRDefault="004A0807">
      <w:pPr>
        <w:spacing w:after="80"/>
        <w:jc w:val="center"/>
      </w:pPr>
    </w:p>
    <w:p w:rsidR="007C762B" w:rsidRPr="004A0807" w:rsidRDefault="00975E5C">
      <w:pPr>
        <w:spacing w:after="60"/>
        <w:jc w:val="center"/>
        <w:rPr>
          <w:sz w:val="40"/>
          <w:szCs w:val="40"/>
        </w:rPr>
      </w:pPr>
      <w:r w:rsidRPr="004A0807">
        <w:rPr>
          <w:color w:val="666666"/>
          <w:sz w:val="40"/>
          <w:szCs w:val="40"/>
        </w:rPr>
        <w:t>A Practical Guide for Executive Directors and Program Managers</w:t>
      </w:r>
    </w:p>
    <w:p w:rsidR="004A0807" w:rsidRDefault="004A0807">
      <w:pPr>
        <w:spacing w:after="200"/>
        <w:jc w:val="center"/>
        <w:rPr>
          <w:color w:val="666666"/>
        </w:rPr>
      </w:pPr>
    </w:p>
    <w:p w:rsidR="004A0807" w:rsidRDefault="004A0807">
      <w:pPr>
        <w:spacing w:after="200"/>
        <w:jc w:val="center"/>
        <w:rPr>
          <w:color w:val="666666"/>
        </w:rPr>
      </w:pPr>
    </w:p>
    <w:p w:rsidR="004A0807" w:rsidRDefault="004A0807">
      <w:pPr>
        <w:spacing w:after="200"/>
        <w:jc w:val="center"/>
        <w:rPr>
          <w:color w:val="666666"/>
        </w:rPr>
      </w:pPr>
    </w:p>
    <w:p w:rsidR="004A0807" w:rsidRDefault="004A0807">
      <w:pPr>
        <w:spacing w:after="200"/>
        <w:jc w:val="center"/>
        <w:rPr>
          <w:color w:val="666666"/>
        </w:rPr>
      </w:pPr>
    </w:p>
    <w:p w:rsidR="004A0807" w:rsidRDefault="004A0807">
      <w:pPr>
        <w:spacing w:after="200"/>
        <w:jc w:val="center"/>
        <w:rPr>
          <w:color w:val="666666"/>
        </w:rPr>
      </w:pPr>
    </w:p>
    <w:p w:rsidR="004A0807" w:rsidRDefault="004A0807" w:rsidP="004A0807">
      <w:pPr>
        <w:jc w:val="center"/>
        <w:rPr>
          <w:color w:val="666666"/>
          <w:sz w:val="48"/>
          <w:szCs w:val="48"/>
        </w:rPr>
      </w:pPr>
    </w:p>
    <w:p w:rsidR="004A0807" w:rsidRDefault="004A0807" w:rsidP="004A0807">
      <w:pPr>
        <w:jc w:val="center"/>
        <w:rPr>
          <w:color w:val="666666"/>
          <w:sz w:val="48"/>
          <w:szCs w:val="48"/>
        </w:rPr>
      </w:pPr>
    </w:p>
    <w:p w:rsidR="004A0807" w:rsidRDefault="004A0807" w:rsidP="004A0807">
      <w:pPr>
        <w:jc w:val="center"/>
        <w:rPr>
          <w:color w:val="666666"/>
          <w:sz w:val="48"/>
          <w:szCs w:val="48"/>
        </w:rPr>
      </w:pPr>
    </w:p>
    <w:p w:rsidR="004A0807" w:rsidRDefault="004A0807" w:rsidP="004A0807">
      <w:pPr>
        <w:jc w:val="center"/>
        <w:rPr>
          <w:color w:val="666666"/>
          <w:sz w:val="48"/>
          <w:szCs w:val="48"/>
        </w:rPr>
      </w:pPr>
    </w:p>
    <w:p w:rsidR="004A0807" w:rsidRPr="004A0807" w:rsidRDefault="00975E5C" w:rsidP="004A0807">
      <w:pPr>
        <w:jc w:val="center"/>
        <w:rPr>
          <w:color w:val="666666"/>
          <w:sz w:val="40"/>
          <w:szCs w:val="40"/>
        </w:rPr>
      </w:pPr>
      <w:r w:rsidRPr="004A0807">
        <w:rPr>
          <w:color w:val="666666"/>
          <w:sz w:val="40"/>
          <w:szCs w:val="40"/>
        </w:rPr>
        <w:t xml:space="preserve">MDI Consulting  </w:t>
      </w:r>
    </w:p>
    <w:p w:rsidR="004A0807" w:rsidRPr="004A0807" w:rsidRDefault="004A0807" w:rsidP="004A0807">
      <w:pPr>
        <w:jc w:val="center"/>
        <w:rPr>
          <w:color w:val="666666"/>
          <w:sz w:val="40"/>
          <w:szCs w:val="40"/>
        </w:rPr>
      </w:pPr>
    </w:p>
    <w:p w:rsidR="004A0807" w:rsidRPr="004A0807" w:rsidRDefault="00975E5C" w:rsidP="004A0807">
      <w:pPr>
        <w:jc w:val="center"/>
        <w:rPr>
          <w:color w:val="666666"/>
          <w:sz w:val="40"/>
          <w:szCs w:val="40"/>
        </w:rPr>
      </w:pPr>
      <w:r w:rsidRPr="004A0807">
        <w:rPr>
          <w:color w:val="666666"/>
          <w:sz w:val="40"/>
          <w:szCs w:val="40"/>
        </w:rPr>
        <w:t>2026</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8460"/>
      </w:tblGrid>
      <w:tr w:rsidR="007C762B">
        <w:tc>
          <w:tcPr>
            <w:tcW w:w="900" w:type="dxa"/>
            <w:tcBorders>
              <w:top w:val="nil"/>
              <w:left w:val="nil"/>
              <w:bottom w:val="nil"/>
              <w:right w:val="nil"/>
            </w:tcBorders>
            <w:shd w:val="clear" w:color="auto" w:fill="404040"/>
            <w:tcMar>
              <w:top w:w="80" w:type="dxa"/>
              <w:left w:w="120" w:type="dxa"/>
              <w:bottom w:w="80" w:type="dxa"/>
              <w:right w:w="120" w:type="dxa"/>
            </w:tcMar>
            <w:vAlign w:val="center"/>
          </w:tcPr>
          <w:p w:rsidR="007C762B" w:rsidRDefault="004A0807" w:rsidP="00E2123A">
            <w:pPr>
              <w:jc w:val="center"/>
            </w:pPr>
            <w:r>
              <w:rPr>
                <w:color w:val="666666"/>
              </w:rPr>
              <w:lastRenderedPageBreak/>
              <w:br w:type="page"/>
            </w:r>
            <w:r w:rsidR="00975E5C">
              <w:rPr>
                <w:b/>
                <w:bCs/>
                <w:color w:val="FFFFFF"/>
                <w:sz w:val="36"/>
                <w:szCs w:val="36"/>
              </w:rPr>
              <w:t>A</w:t>
            </w:r>
          </w:p>
        </w:tc>
        <w:tc>
          <w:tcPr>
            <w:tcW w:w="8460" w:type="dxa"/>
            <w:tcBorders>
              <w:top w:val="nil"/>
              <w:left w:val="nil"/>
              <w:bottom w:val="nil"/>
              <w:right w:val="nil"/>
            </w:tcBorders>
            <w:shd w:val="clear" w:color="auto" w:fill="404040"/>
            <w:tcMar>
              <w:top w:w="80" w:type="dxa"/>
              <w:left w:w="180" w:type="dxa"/>
              <w:bottom w:w="80" w:type="dxa"/>
              <w:right w:w="120" w:type="dxa"/>
            </w:tcMar>
            <w:vAlign w:val="center"/>
          </w:tcPr>
          <w:p w:rsidR="007C762B" w:rsidRDefault="00975E5C" w:rsidP="00E2123A">
            <w:pPr>
              <w:jc w:val="center"/>
            </w:pPr>
            <w:r>
              <w:rPr>
                <w:b/>
                <w:bCs/>
                <w:color w:val="FFFFFF"/>
                <w:sz w:val="28"/>
                <w:szCs w:val="28"/>
              </w:rPr>
              <w:t>Introduction</w:t>
            </w:r>
          </w:p>
        </w:tc>
      </w:tr>
    </w:tbl>
    <w:p w:rsidR="007C762B" w:rsidRDefault="007C762B" w:rsidP="00E2123A"/>
    <w:p w:rsidR="007C762B" w:rsidRDefault="00975E5C" w:rsidP="00E2123A">
      <w:r>
        <w:t>After you have clarified your mission, set objectives, decided on strategies, and developed work plans, you can build a detailed budget that will allow you to carry out those activities. This guide presents practical instructions for developing a budget and the financial management tools that will strengthen your organization.</w:t>
      </w:r>
    </w:p>
    <w:p w:rsidR="007C762B" w:rsidRDefault="007C762B" w:rsidP="00E2123A"/>
    <w:p w:rsidR="007C762B" w:rsidRDefault="00975E5C" w:rsidP="00E2123A">
      <w:r>
        <w:t>Worksheets in the accompanying Budget Worksheet spreadsheet help you track actual expenses against the budget, with cash flow projection tools that will ensure you always have adequate resources for program implementation.</w:t>
      </w:r>
    </w:p>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762B">
        <w:tc>
          <w:tcPr>
            <w:tcW w:w="9360" w:type="dxa"/>
            <w:tcBorders>
              <w:top w:val="single" w:sz="4" w:space="0" w:color="333333"/>
              <w:left w:val="single" w:sz="4" w:space="0" w:color="333333"/>
              <w:bottom w:val="single" w:sz="4" w:space="0" w:color="333333"/>
              <w:right w:val="single" w:sz="4" w:space="0" w:color="333333"/>
            </w:tcBorders>
            <w:shd w:val="clear" w:color="auto" w:fill="F2F2F2"/>
            <w:tcMar>
              <w:top w:w="120" w:type="dxa"/>
              <w:left w:w="240" w:type="dxa"/>
              <w:bottom w:w="120" w:type="dxa"/>
              <w:right w:w="240" w:type="dxa"/>
            </w:tcMar>
          </w:tcPr>
          <w:p w:rsidR="007C762B" w:rsidRDefault="00975E5C" w:rsidP="00E2123A">
            <w:r>
              <w:rPr>
                <w:b/>
                <w:bCs/>
              </w:rPr>
              <w:t>What Is a Budget?</w:t>
            </w:r>
          </w:p>
          <w:p w:rsidR="007C762B" w:rsidRDefault="00975E5C" w:rsidP="00E2123A">
            <w:r>
              <w:t>A budget is the monetary expression of your objectives—it outlines the financial resources required to implement your business plan.</w:t>
            </w:r>
          </w:p>
          <w:p w:rsidR="007C762B" w:rsidRDefault="00975E5C" w:rsidP="00E2123A">
            <w:r>
              <w:t>Along with the work plan, the budget acts as a road map for your organization, guiding you through the implementation of planned activities.</w:t>
            </w:r>
          </w:p>
        </w:tc>
      </w:tr>
    </w:tbl>
    <w:p w:rsidR="007C762B" w:rsidRDefault="007C762B" w:rsidP="00E2123A"/>
    <w:p w:rsidR="007C762B" w:rsidRDefault="00975E5C" w:rsidP="00E2123A">
      <w:r>
        <w:rPr>
          <w:b/>
          <w:bCs/>
          <w:sz w:val="24"/>
          <w:szCs w:val="24"/>
        </w:rPr>
        <w:t>Why Budgets Matter</w:t>
      </w:r>
    </w:p>
    <w:p w:rsidR="007C762B" w:rsidRDefault="00975E5C" w:rsidP="00E2123A">
      <w:r>
        <w:t>Budgets serve several critical planning functions for your organization:</w:t>
      </w:r>
    </w:p>
    <w:p w:rsidR="007C762B" w:rsidRDefault="007C762B" w:rsidP="00E2123A"/>
    <w:p w:rsidR="007C762B" w:rsidRDefault="00975E5C" w:rsidP="00E2123A">
      <w:pPr>
        <w:pStyle w:val="ListParagraph"/>
        <w:numPr>
          <w:ilvl w:val="0"/>
          <w:numId w:val="4"/>
        </w:numPr>
      </w:pPr>
      <w:r>
        <w:t>Ensure resources are spent only on activities that directly support organizational objectives.</w:t>
      </w:r>
    </w:p>
    <w:p w:rsidR="007C762B" w:rsidRDefault="00975E5C" w:rsidP="00E2123A">
      <w:pPr>
        <w:pStyle w:val="ListParagraph"/>
        <w:numPr>
          <w:ilvl w:val="0"/>
          <w:numId w:val="4"/>
        </w:numPr>
      </w:pPr>
      <w:r>
        <w:t>Confirm that resources are available when they are required.</w:t>
      </w:r>
    </w:p>
    <w:p w:rsidR="007C762B" w:rsidRDefault="00975E5C" w:rsidP="00E2123A">
      <w:pPr>
        <w:pStyle w:val="ListParagraph"/>
        <w:numPr>
          <w:ilvl w:val="0"/>
          <w:numId w:val="4"/>
        </w:numPr>
      </w:pPr>
      <w:r>
        <w:t>Allow you to examine objectives and activities with regard to their actual cost.</w:t>
      </w:r>
    </w:p>
    <w:p w:rsidR="007C762B" w:rsidRDefault="00975E5C" w:rsidP="00E2123A">
      <w:pPr>
        <w:pStyle w:val="ListParagraph"/>
        <w:numPr>
          <w:ilvl w:val="0"/>
          <w:numId w:val="4"/>
        </w:numPr>
      </w:pPr>
      <w:r>
        <w:t>Provide early warning of cash flow problems, enabling corrective action before a crisis occurs.</w:t>
      </w:r>
    </w:p>
    <w:p w:rsidR="007C762B" w:rsidRDefault="00975E5C" w:rsidP="00E2123A">
      <w:pPr>
        <w:pStyle w:val="ListParagraph"/>
        <w:numPr>
          <w:ilvl w:val="0"/>
          <w:numId w:val="4"/>
        </w:numPr>
      </w:pPr>
      <w:r>
        <w:t>Enable periodic comparison of program progress against expenses—so you can determine whether objectives are achievable within the remaining budget.</w:t>
      </w:r>
    </w:p>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7C762B">
        <w:tc>
          <w:tcPr>
            <w:tcW w:w="4680" w:type="dxa"/>
            <w:tcBorders>
              <w:top w:val="single" w:sz="4" w:space="0" w:color="666666"/>
              <w:left w:val="single" w:sz="4" w:space="0" w:color="666666"/>
              <w:bottom w:val="single" w:sz="4" w:space="0" w:color="666666"/>
              <w:right w:val="single" w:sz="4" w:space="0" w:color="666666"/>
            </w:tcBorders>
            <w:shd w:val="clear" w:color="auto" w:fill="404040"/>
            <w:tcMar>
              <w:top w:w="80" w:type="dxa"/>
              <w:left w:w="120" w:type="dxa"/>
              <w:bottom w:w="80" w:type="dxa"/>
              <w:right w:w="120" w:type="dxa"/>
            </w:tcMar>
          </w:tcPr>
          <w:p w:rsidR="007C762B" w:rsidRDefault="00975E5C" w:rsidP="00E2123A">
            <w:pPr>
              <w:jc w:val="center"/>
            </w:pPr>
            <w:r>
              <w:rPr>
                <w:b/>
                <w:bCs/>
                <w:color w:val="FFFFFF"/>
              </w:rPr>
              <w:t>Small Organizations</w:t>
            </w:r>
          </w:p>
        </w:tc>
        <w:tc>
          <w:tcPr>
            <w:tcW w:w="4680" w:type="dxa"/>
            <w:tcBorders>
              <w:top w:val="single" w:sz="4" w:space="0" w:color="666666"/>
              <w:left w:val="single" w:sz="4" w:space="0" w:color="666666"/>
              <w:bottom w:val="single" w:sz="4" w:space="0" w:color="666666"/>
              <w:right w:val="single" w:sz="4" w:space="0" w:color="666666"/>
            </w:tcBorders>
            <w:shd w:val="clear" w:color="auto" w:fill="404040"/>
            <w:tcMar>
              <w:top w:w="80" w:type="dxa"/>
              <w:left w:w="120" w:type="dxa"/>
              <w:bottom w:w="80" w:type="dxa"/>
              <w:right w:w="120" w:type="dxa"/>
            </w:tcMar>
          </w:tcPr>
          <w:p w:rsidR="007C762B" w:rsidRDefault="00975E5C" w:rsidP="00E2123A">
            <w:pPr>
              <w:jc w:val="center"/>
            </w:pPr>
            <w:r>
              <w:rPr>
                <w:b/>
                <w:bCs/>
                <w:color w:val="FFFFFF"/>
              </w:rPr>
              <w:t>Larger Organizations</w:t>
            </w:r>
          </w:p>
        </w:tc>
      </w:tr>
      <w:tr w:rsidR="007C762B">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May write out the budget by hand or use simple spreadsheets</w:t>
            </w:r>
          </w:p>
        </w:tc>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Typically use complex, multi-department spreadsheet systems</w:t>
            </w:r>
          </w:p>
        </w:tc>
      </w:tr>
      <w:tr w:rsidR="007C762B">
        <w:tc>
          <w:tcPr>
            <w:tcW w:w="468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Focus on core program expenses and basic revenue tracking</w:t>
            </w:r>
          </w:p>
        </w:tc>
        <w:tc>
          <w:tcPr>
            <w:tcW w:w="468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Need to track multiple funding streams and department allocations</w:t>
            </w:r>
          </w:p>
        </w:tc>
      </w:tr>
      <w:tr w:rsidR="007C762B">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One or two people manage the budget process</w:t>
            </w:r>
          </w:p>
        </w:tc>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Finance teams and department heads share responsibility</w:t>
            </w:r>
          </w:p>
        </w:tc>
      </w:tr>
    </w:tbl>
    <w:p w:rsidR="007C762B" w:rsidRDefault="007C762B" w:rsidP="00E2123A"/>
    <w:p w:rsidR="007C762B" w:rsidRDefault="00975E5C" w:rsidP="00E2123A">
      <w:r>
        <w:t>No matter the size or type of organization, the basic process is the same: determine the resources and inputs necessary to implement your activities, identify what you already have, what might be donated, and what must be purchased or rented.</w:t>
      </w:r>
    </w:p>
    <w:p w:rsidR="007C762B" w:rsidRDefault="007C762B" w:rsidP="00E2123A"/>
    <w:p w:rsidR="004A0807" w:rsidRDefault="004A0807"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8460"/>
      </w:tblGrid>
      <w:tr w:rsidR="007C762B">
        <w:tc>
          <w:tcPr>
            <w:tcW w:w="900" w:type="dxa"/>
            <w:tcBorders>
              <w:top w:val="nil"/>
              <w:left w:val="nil"/>
              <w:bottom w:val="nil"/>
              <w:right w:val="nil"/>
            </w:tcBorders>
            <w:shd w:val="clear" w:color="auto" w:fill="404040"/>
            <w:tcMar>
              <w:top w:w="80" w:type="dxa"/>
              <w:left w:w="120" w:type="dxa"/>
              <w:bottom w:w="80" w:type="dxa"/>
              <w:right w:w="120" w:type="dxa"/>
            </w:tcMar>
            <w:vAlign w:val="center"/>
          </w:tcPr>
          <w:p w:rsidR="007C762B" w:rsidRDefault="00975E5C" w:rsidP="00E2123A">
            <w:pPr>
              <w:jc w:val="center"/>
            </w:pPr>
            <w:r>
              <w:rPr>
                <w:b/>
                <w:bCs/>
                <w:color w:val="FFFFFF"/>
                <w:sz w:val="36"/>
                <w:szCs w:val="36"/>
              </w:rPr>
              <w:lastRenderedPageBreak/>
              <w:t>B</w:t>
            </w:r>
          </w:p>
        </w:tc>
        <w:tc>
          <w:tcPr>
            <w:tcW w:w="8460" w:type="dxa"/>
            <w:tcBorders>
              <w:top w:val="nil"/>
              <w:left w:val="nil"/>
              <w:bottom w:val="nil"/>
              <w:right w:val="nil"/>
            </w:tcBorders>
            <w:shd w:val="clear" w:color="auto" w:fill="404040"/>
            <w:tcMar>
              <w:top w:w="80" w:type="dxa"/>
              <w:left w:w="180" w:type="dxa"/>
              <w:bottom w:w="80" w:type="dxa"/>
              <w:right w:w="120" w:type="dxa"/>
            </w:tcMar>
            <w:vAlign w:val="center"/>
          </w:tcPr>
          <w:p w:rsidR="007C762B" w:rsidRDefault="00975E5C" w:rsidP="00E2123A">
            <w:pPr>
              <w:jc w:val="center"/>
            </w:pPr>
            <w:r>
              <w:rPr>
                <w:b/>
                <w:bCs/>
                <w:color w:val="FFFFFF"/>
                <w:sz w:val="28"/>
                <w:szCs w:val="28"/>
              </w:rPr>
              <w:t>The Budgeting Process</w:t>
            </w:r>
          </w:p>
        </w:tc>
      </w:tr>
    </w:tbl>
    <w:p w:rsidR="007C762B" w:rsidRDefault="007C762B" w:rsidP="00E2123A"/>
    <w:p w:rsidR="007C762B" w:rsidRDefault="00975E5C" w:rsidP="00E2123A">
      <w:r>
        <w:t>There are four essential steps in the budgeting process. Work through them in order for best results.</w:t>
      </w:r>
    </w:p>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8760"/>
      </w:tblGrid>
      <w:tr w:rsidR="007C762B">
        <w:tc>
          <w:tcPr>
            <w:tcW w:w="600" w:type="dxa"/>
            <w:tcBorders>
              <w:top w:val="single" w:sz="4" w:space="0" w:color="CCCCCC"/>
              <w:left w:val="single" w:sz="4" w:space="0" w:color="CCCCCC"/>
              <w:bottom w:val="single" w:sz="4" w:space="0" w:color="CCCCCC"/>
              <w:right w:val="single" w:sz="4" w:space="0" w:color="CCCCCC"/>
            </w:tcBorders>
            <w:shd w:val="clear" w:color="auto" w:fill="404040"/>
            <w:tcMar>
              <w:top w:w="120" w:type="dxa"/>
              <w:left w:w="80" w:type="dxa"/>
              <w:bottom w:w="120" w:type="dxa"/>
              <w:right w:w="80" w:type="dxa"/>
            </w:tcMar>
            <w:vAlign w:val="center"/>
          </w:tcPr>
          <w:p w:rsidR="007C762B" w:rsidRDefault="00975E5C" w:rsidP="00E2123A">
            <w:pPr>
              <w:jc w:val="center"/>
            </w:pPr>
            <w:r>
              <w:rPr>
                <w:b/>
                <w:bCs/>
                <w:color w:val="FFFFFF"/>
                <w:sz w:val="40"/>
                <w:szCs w:val="40"/>
              </w:rPr>
              <w:t>1</w:t>
            </w:r>
          </w:p>
        </w:tc>
        <w:tc>
          <w:tcPr>
            <w:tcW w:w="8760" w:type="dxa"/>
            <w:tcBorders>
              <w:top w:val="single" w:sz="4" w:space="0" w:color="CCCCCC"/>
              <w:left w:val="single" w:sz="4" w:space="0" w:color="CCCCCC"/>
              <w:bottom w:val="single" w:sz="4" w:space="0" w:color="CCCCCC"/>
              <w:right w:val="single" w:sz="4" w:space="0" w:color="CCCCCC"/>
            </w:tcBorders>
            <w:shd w:val="clear" w:color="auto" w:fill="F2F2F2"/>
            <w:tcMar>
              <w:top w:w="100" w:type="dxa"/>
              <w:left w:w="180" w:type="dxa"/>
              <w:bottom w:w="100" w:type="dxa"/>
              <w:right w:w="120" w:type="dxa"/>
            </w:tcMar>
          </w:tcPr>
          <w:p w:rsidR="007C762B" w:rsidRDefault="00975E5C" w:rsidP="00E2123A">
            <w:r>
              <w:rPr>
                <w:b/>
                <w:bCs/>
              </w:rPr>
              <w:t>Lay Out All Required Resources</w:t>
            </w:r>
          </w:p>
          <w:p w:rsidR="007C762B" w:rsidRDefault="00975E5C" w:rsidP="00E2123A">
            <w:r>
              <w:t>List every resource needed to implement the program or activity—whether or not you currently have it. Think comprehensively: staff time, space, supplies, consultants, travel, and more.</w:t>
            </w:r>
          </w:p>
        </w:tc>
      </w:tr>
    </w:tbl>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8760"/>
      </w:tblGrid>
      <w:tr w:rsidR="007C762B">
        <w:tc>
          <w:tcPr>
            <w:tcW w:w="600" w:type="dxa"/>
            <w:tcBorders>
              <w:top w:val="single" w:sz="4" w:space="0" w:color="CCCCCC"/>
              <w:left w:val="single" w:sz="4" w:space="0" w:color="CCCCCC"/>
              <w:bottom w:val="single" w:sz="4" w:space="0" w:color="CCCCCC"/>
              <w:right w:val="single" w:sz="4" w:space="0" w:color="CCCCCC"/>
            </w:tcBorders>
            <w:shd w:val="clear" w:color="auto" w:fill="404040"/>
            <w:tcMar>
              <w:top w:w="120" w:type="dxa"/>
              <w:left w:w="80" w:type="dxa"/>
              <w:bottom w:w="120" w:type="dxa"/>
              <w:right w:w="80" w:type="dxa"/>
            </w:tcMar>
            <w:vAlign w:val="center"/>
          </w:tcPr>
          <w:p w:rsidR="007C762B" w:rsidRDefault="00975E5C" w:rsidP="00E2123A">
            <w:pPr>
              <w:jc w:val="center"/>
            </w:pPr>
            <w:r>
              <w:rPr>
                <w:b/>
                <w:bCs/>
                <w:color w:val="FFFFFF"/>
                <w:sz w:val="40"/>
                <w:szCs w:val="40"/>
              </w:rPr>
              <w:t>2</w:t>
            </w:r>
          </w:p>
        </w:tc>
        <w:tc>
          <w:tcPr>
            <w:tcW w:w="8760" w:type="dxa"/>
            <w:tcBorders>
              <w:top w:val="single" w:sz="4" w:space="0" w:color="CCCCCC"/>
              <w:left w:val="single" w:sz="4" w:space="0" w:color="CCCCCC"/>
              <w:bottom w:val="single" w:sz="4" w:space="0" w:color="CCCCCC"/>
              <w:right w:val="single" w:sz="4" w:space="0" w:color="CCCCCC"/>
            </w:tcBorders>
            <w:shd w:val="clear" w:color="auto" w:fill="F2F2F2"/>
            <w:tcMar>
              <w:top w:w="100" w:type="dxa"/>
              <w:left w:w="180" w:type="dxa"/>
              <w:bottom w:w="100" w:type="dxa"/>
              <w:right w:w="120" w:type="dxa"/>
            </w:tcMar>
          </w:tcPr>
          <w:p w:rsidR="007C762B" w:rsidRDefault="00975E5C" w:rsidP="00E2123A">
            <w:r>
              <w:rPr>
                <w:b/>
                <w:bCs/>
              </w:rPr>
              <w:t>Determine the Source of Each Resource</w:t>
            </w:r>
          </w:p>
          <w:p w:rsidR="007C762B" w:rsidRDefault="00975E5C" w:rsidP="00E2123A">
            <w:r>
              <w:t>Classify each resource: Is it already in-house? Can it be donated by a local organization or individual? Will volunteers provide it? Knowing the source shapes your fundraising strategy.</w:t>
            </w:r>
          </w:p>
        </w:tc>
      </w:tr>
    </w:tbl>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8760"/>
      </w:tblGrid>
      <w:tr w:rsidR="007C762B">
        <w:tc>
          <w:tcPr>
            <w:tcW w:w="600" w:type="dxa"/>
            <w:tcBorders>
              <w:top w:val="single" w:sz="4" w:space="0" w:color="CCCCCC"/>
              <w:left w:val="single" w:sz="4" w:space="0" w:color="CCCCCC"/>
              <w:bottom w:val="single" w:sz="4" w:space="0" w:color="CCCCCC"/>
              <w:right w:val="single" w:sz="4" w:space="0" w:color="CCCCCC"/>
            </w:tcBorders>
            <w:shd w:val="clear" w:color="auto" w:fill="404040"/>
            <w:tcMar>
              <w:top w:w="120" w:type="dxa"/>
              <w:left w:w="80" w:type="dxa"/>
              <w:bottom w:w="120" w:type="dxa"/>
              <w:right w:w="80" w:type="dxa"/>
            </w:tcMar>
            <w:vAlign w:val="center"/>
          </w:tcPr>
          <w:p w:rsidR="007C762B" w:rsidRDefault="00975E5C" w:rsidP="00E2123A">
            <w:pPr>
              <w:jc w:val="center"/>
            </w:pPr>
            <w:r>
              <w:rPr>
                <w:b/>
                <w:bCs/>
                <w:color w:val="FFFFFF"/>
                <w:sz w:val="40"/>
                <w:szCs w:val="40"/>
              </w:rPr>
              <w:t>3</w:t>
            </w:r>
          </w:p>
        </w:tc>
        <w:tc>
          <w:tcPr>
            <w:tcW w:w="8760" w:type="dxa"/>
            <w:tcBorders>
              <w:top w:val="single" w:sz="4" w:space="0" w:color="CCCCCC"/>
              <w:left w:val="single" w:sz="4" w:space="0" w:color="CCCCCC"/>
              <w:bottom w:val="single" w:sz="4" w:space="0" w:color="CCCCCC"/>
              <w:right w:val="single" w:sz="4" w:space="0" w:color="CCCCCC"/>
            </w:tcBorders>
            <w:shd w:val="clear" w:color="auto" w:fill="F2F2F2"/>
            <w:tcMar>
              <w:top w:w="100" w:type="dxa"/>
              <w:left w:w="180" w:type="dxa"/>
              <w:bottom w:w="100" w:type="dxa"/>
              <w:right w:w="120" w:type="dxa"/>
            </w:tcMar>
          </w:tcPr>
          <w:p w:rsidR="007C762B" w:rsidRDefault="00975E5C" w:rsidP="00E2123A">
            <w:r>
              <w:rPr>
                <w:b/>
                <w:bCs/>
              </w:rPr>
              <w:t>Estimate Costs</w:t>
            </w:r>
          </w:p>
          <w:p w:rsidR="007C762B" w:rsidRDefault="00975E5C" w:rsidP="00E2123A">
            <w:r>
              <w:t>Based on your own experience, the experience of peer organizations, and direct vendor inquiries, determine how much each resource will cost. Don’t forget to factor in inflation.</w:t>
            </w:r>
          </w:p>
        </w:tc>
      </w:tr>
    </w:tbl>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8760"/>
      </w:tblGrid>
      <w:tr w:rsidR="007C762B">
        <w:tc>
          <w:tcPr>
            <w:tcW w:w="600" w:type="dxa"/>
            <w:tcBorders>
              <w:top w:val="single" w:sz="4" w:space="0" w:color="CCCCCC"/>
              <w:left w:val="single" w:sz="4" w:space="0" w:color="CCCCCC"/>
              <w:bottom w:val="single" w:sz="4" w:space="0" w:color="CCCCCC"/>
              <w:right w:val="single" w:sz="4" w:space="0" w:color="CCCCCC"/>
            </w:tcBorders>
            <w:shd w:val="clear" w:color="auto" w:fill="404040"/>
            <w:tcMar>
              <w:top w:w="120" w:type="dxa"/>
              <w:left w:w="80" w:type="dxa"/>
              <w:bottom w:w="120" w:type="dxa"/>
              <w:right w:w="80" w:type="dxa"/>
            </w:tcMar>
            <w:vAlign w:val="center"/>
          </w:tcPr>
          <w:p w:rsidR="007C762B" w:rsidRDefault="00975E5C" w:rsidP="00E2123A">
            <w:pPr>
              <w:jc w:val="center"/>
            </w:pPr>
            <w:r>
              <w:rPr>
                <w:b/>
                <w:bCs/>
                <w:color w:val="FFFFFF"/>
                <w:sz w:val="40"/>
                <w:szCs w:val="40"/>
              </w:rPr>
              <w:t>4</w:t>
            </w:r>
          </w:p>
        </w:tc>
        <w:tc>
          <w:tcPr>
            <w:tcW w:w="8760" w:type="dxa"/>
            <w:tcBorders>
              <w:top w:val="single" w:sz="4" w:space="0" w:color="CCCCCC"/>
              <w:left w:val="single" w:sz="4" w:space="0" w:color="CCCCCC"/>
              <w:bottom w:val="single" w:sz="4" w:space="0" w:color="CCCCCC"/>
              <w:right w:val="single" w:sz="4" w:space="0" w:color="CCCCCC"/>
            </w:tcBorders>
            <w:shd w:val="clear" w:color="auto" w:fill="F2F2F2"/>
            <w:tcMar>
              <w:top w:w="100" w:type="dxa"/>
              <w:left w:w="180" w:type="dxa"/>
              <w:bottom w:w="100" w:type="dxa"/>
              <w:right w:w="120" w:type="dxa"/>
            </w:tcMar>
          </w:tcPr>
          <w:p w:rsidR="007C762B" w:rsidRDefault="00975E5C" w:rsidP="00E2123A">
            <w:r>
              <w:rPr>
                <w:b/>
                <w:bCs/>
              </w:rPr>
              <w:t>Determine Timing</w:t>
            </w:r>
          </w:p>
          <w:p w:rsidR="007C762B" w:rsidRDefault="00975E5C" w:rsidP="00E2123A">
            <w:r>
              <w:t>Identify when each resource will be needed. This feeds directly into the cash flow projections in the Summary Tab of the Budget Worksheet spreadsheet, and helps you avoid gaps in funding.</w:t>
            </w:r>
          </w:p>
        </w:tc>
      </w:tr>
    </w:tbl>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762B">
        <w:tc>
          <w:tcPr>
            <w:tcW w:w="9360" w:type="dxa"/>
            <w:tcBorders>
              <w:top w:val="nil"/>
              <w:left w:val="nil"/>
              <w:bottom w:val="nil"/>
              <w:right w:val="nil"/>
            </w:tcBorders>
            <w:shd w:val="clear" w:color="auto" w:fill="EBEBEB"/>
            <w:tcMar>
              <w:top w:w="100" w:type="dxa"/>
              <w:left w:w="200" w:type="dxa"/>
              <w:bottom w:w="40" w:type="dxa"/>
              <w:right w:w="120" w:type="dxa"/>
            </w:tcMar>
          </w:tcPr>
          <w:p w:rsidR="007C762B" w:rsidRDefault="00975E5C" w:rsidP="00E2123A">
            <w:r>
              <w:rPr>
                <w:b/>
                <w:bCs/>
              </w:rPr>
              <w:t>What You’ll Need to Get Started</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Your organization’s mission, objectives, strategies, and work plans</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The personnel policy of your organization (for salary and fringe benefit calculations)</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Contact information for vendors and consultants you plan to use</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Prior year actuals (if available)—these are your best guide to realistic estimates</w:t>
            </w:r>
          </w:p>
        </w:tc>
      </w:tr>
      <w:tr w:rsidR="007C762B">
        <w:tc>
          <w:tcPr>
            <w:tcW w:w="9360" w:type="dxa"/>
            <w:tcBorders>
              <w:top w:val="nil"/>
              <w:left w:val="nil"/>
              <w:bottom w:val="nil"/>
              <w:right w:val="nil"/>
            </w:tcBorders>
            <w:shd w:val="clear" w:color="auto" w:fill="EBEBEB"/>
            <w:tcMar>
              <w:top w:w="60" w:type="dxa"/>
              <w:left w:w="200" w:type="dxa"/>
              <w:bottom w:w="0" w:type="dxa"/>
              <w:right w:w="120" w:type="dxa"/>
            </w:tcMar>
          </w:tcPr>
          <w:p w:rsidR="007C762B" w:rsidRDefault="007C762B" w:rsidP="00E2123A"/>
        </w:tc>
      </w:tr>
    </w:tbl>
    <w:p w:rsidR="007C762B" w:rsidRDefault="007C762B" w:rsidP="00E2123A"/>
    <w:p w:rsidR="00E2123A" w:rsidRDefault="00E2123A" w:rsidP="00E2123A"/>
    <w:p w:rsidR="00E2123A" w:rsidRDefault="00E2123A"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8460"/>
      </w:tblGrid>
      <w:tr w:rsidR="007C762B">
        <w:tc>
          <w:tcPr>
            <w:tcW w:w="900" w:type="dxa"/>
            <w:tcBorders>
              <w:top w:val="nil"/>
              <w:left w:val="nil"/>
              <w:bottom w:val="nil"/>
              <w:right w:val="nil"/>
            </w:tcBorders>
            <w:shd w:val="clear" w:color="auto" w:fill="404040"/>
            <w:tcMar>
              <w:top w:w="80" w:type="dxa"/>
              <w:left w:w="120" w:type="dxa"/>
              <w:bottom w:w="80" w:type="dxa"/>
              <w:right w:w="120" w:type="dxa"/>
            </w:tcMar>
            <w:vAlign w:val="center"/>
          </w:tcPr>
          <w:p w:rsidR="007C762B" w:rsidRDefault="00975E5C" w:rsidP="00E2123A">
            <w:pPr>
              <w:jc w:val="center"/>
            </w:pPr>
            <w:r>
              <w:rPr>
                <w:b/>
                <w:bCs/>
                <w:color w:val="FFFFFF"/>
                <w:sz w:val="36"/>
                <w:szCs w:val="36"/>
              </w:rPr>
              <w:t>C</w:t>
            </w:r>
          </w:p>
        </w:tc>
        <w:tc>
          <w:tcPr>
            <w:tcW w:w="8460" w:type="dxa"/>
            <w:tcBorders>
              <w:top w:val="nil"/>
              <w:left w:val="nil"/>
              <w:bottom w:val="nil"/>
              <w:right w:val="nil"/>
            </w:tcBorders>
            <w:shd w:val="clear" w:color="auto" w:fill="404040"/>
            <w:tcMar>
              <w:top w:w="80" w:type="dxa"/>
              <w:left w:w="180" w:type="dxa"/>
              <w:bottom w:w="80" w:type="dxa"/>
              <w:right w:w="120" w:type="dxa"/>
            </w:tcMar>
            <w:vAlign w:val="center"/>
          </w:tcPr>
          <w:p w:rsidR="007C762B" w:rsidRDefault="00975E5C" w:rsidP="00E2123A">
            <w:pPr>
              <w:jc w:val="center"/>
            </w:pPr>
            <w:r>
              <w:rPr>
                <w:b/>
                <w:bCs/>
                <w:color w:val="FFFFFF"/>
                <w:sz w:val="28"/>
                <w:szCs w:val="28"/>
              </w:rPr>
              <w:t>Budget Format</w:t>
            </w:r>
          </w:p>
        </w:tc>
      </w:tr>
    </w:tbl>
    <w:p w:rsidR="007C762B" w:rsidRDefault="007C762B" w:rsidP="00E2123A"/>
    <w:p w:rsidR="007C762B" w:rsidRDefault="00975E5C" w:rsidP="00E2123A">
      <w:r>
        <w:t>Budgets can be laid out in any format that is logical for your organization, provided it is consistent with your chart of accounts. Most nonprofit charts of accounts have three key components:</w:t>
      </w:r>
    </w:p>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7C762B">
        <w:tc>
          <w:tcPr>
            <w:tcW w:w="2800" w:type="dxa"/>
            <w:tcBorders>
              <w:top w:val="single" w:sz="4" w:space="0" w:color="666666"/>
              <w:left w:val="single" w:sz="4" w:space="0" w:color="666666"/>
              <w:bottom w:val="single" w:sz="4" w:space="0" w:color="666666"/>
              <w:right w:val="single" w:sz="4" w:space="0" w:color="666666"/>
            </w:tcBorders>
            <w:shd w:val="clear" w:color="auto" w:fill="404040"/>
            <w:tcMar>
              <w:top w:w="80" w:type="dxa"/>
              <w:left w:w="120" w:type="dxa"/>
              <w:bottom w:w="80" w:type="dxa"/>
              <w:right w:w="120" w:type="dxa"/>
            </w:tcMar>
          </w:tcPr>
          <w:p w:rsidR="007C762B" w:rsidRDefault="00975E5C" w:rsidP="00E2123A">
            <w:pPr>
              <w:jc w:val="center"/>
            </w:pPr>
            <w:r>
              <w:rPr>
                <w:b/>
                <w:bCs/>
                <w:color w:val="FFFFFF"/>
              </w:rPr>
              <w:t>Chart of Accounts Component</w:t>
            </w:r>
          </w:p>
        </w:tc>
        <w:tc>
          <w:tcPr>
            <w:tcW w:w="6560" w:type="dxa"/>
            <w:tcBorders>
              <w:top w:val="single" w:sz="4" w:space="0" w:color="666666"/>
              <w:left w:val="single" w:sz="4" w:space="0" w:color="666666"/>
              <w:bottom w:val="single" w:sz="4" w:space="0" w:color="666666"/>
              <w:right w:val="single" w:sz="4" w:space="0" w:color="666666"/>
            </w:tcBorders>
            <w:shd w:val="clear" w:color="auto" w:fill="404040"/>
            <w:tcMar>
              <w:top w:w="80" w:type="dxa"/>
              <w:left w:w="120" w:type="dxa"/>
              <w:bottom w:w="80" w:type="dxa"/>
              <w:right w:w="120" w:type="dxa"/>
            </w:tcMar>
          </w:tcPr>
          <w:p w:rsidR="007C762B" w:rsidRDefault="00975E5C" w:rsidP="00E2123A">
            <w:pPr>
              <w:jc w:val="center"/>
            </w:pPr>
            <w:r>
              <w:rPr>
                <w:b/>
                <w:bCs/>
                <w:color w:val="FFFFFF"/>
              </w:rPr>
              <w:t>Description</w:t>
            </w:r>
          </w:p>
        </w:tc>
      </w:tr>
      <w:tr w:rsidR="007C762B">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Revenue and Expense Categories</w:t>
            </w:r>
          </w:p>
        </w:tc>
        <w:tc>
          <w:tcPr>
            <w:tcW w:w="6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Revenue and expenses are grouped into logical areas (see the full breakdown below). Use categories that reflect how you actually operate.</w:t>
            </w:r>
          </w:p>
        </w:tc>
      </w:tr>
      <w:tr w:rsidR="007C762B">
        <w:tc>
          <w:tcPr>
            <w:tcW w:w="280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Department or Program</w:t>
            </w:r>
          </w:p>
        </w:tc>
        <w:tc>
          <w:tcPr>
            <w:tcW w:w="656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Revenue and expenses must be allocated between program areas, administration, and fundraising. This is often labeled “Program” or “Department” in your chart of accounts.</w:t>
            </w:r>
          </w:p>
        </w:tc>
      </w:tr>
      <w:tr w:rsidR="007C762B">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Source of Funds (Grants &amp; Contracts)</w:t>
            </w:r>
          </w:p>
        </w:tc>
        <w:tc>
          <w:tcPr>
            <w:tcW w:w="6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Tracks which funder or funding stream covers each expense. Nonprofit “fund accounting” is distinct from for-profit accounting because it requires you to honor donor restrictions.</w:t>
            </w:r>
          </w:p>
        </w:tc>
      </w:tr>
    </w:tbl>
    <w:p w:rsidR="00E2123A" w:rsidRDefault="00E2123A" w:rsidP="00E2123A">
      <w:pPr>
        <w:rPr>
          <w:b/>
          <w:bCs/>
          <w:sz w:val="24"/>
          <w:szCs w:val="24"/>
        </w:rPr>
      </w:pPr>
    </w:p>
    <w:p w:rsidR="007C762B" w:rsidRDefault="00975E5C" w:rsidP="00E2123A">
      <w:r>
        <w:rPr>
          <w:b/>
          <w:bCs/>
          <w:sz w:val="24"/>
          <w:szCs w:val="24"/>
        </w:rPr>
        <w:t>Expense Categories at a Glance</w:t>
      </w:r>
    </w:p>
    <w:p w:rsidR="00E2123A" w:rsidRDefault="00E2123A" w:rsidP="00E2123A">
      <w:pPr>
        <w:rPr>
          <w:b/>
          <w:bCs/>
        </w:rPr>
      </w:pPr>
    </w:p>
    <w:p w:rsidR="007C762B" w:rsidRDefault="00975E5C" w:rsidP="00E2123A">
      <w:r>
        <w:rPr>
          <w:b/>
          <w:bCs/>
        </w:rPr>
        <w:t>Personnel Costs</w:t>
      </w:r>
    </w:p>
    <w:p w:rsidR="007C762B" w:rsidRDefault="00975E5C" w:rsidP="00E2123A">
      <w:pPr>
        <w:pStyle w:val="ListParagraph"/>
        <w:numPr>
          <w:ilvl w:val="0"/>
          <w:numId w:val="8"/>
        </w:numPr>
      </w:pPr>
      <w:r>
        <w:t>Staff Salaries – Permanent staff and part-time employees</w:t>
      </w:r>
    </w:p>
    <w:p w:rsidR="007C762B" w:rsidRDefault="00975E5C" w:rsidP="00E2123A">
      <w:pPr>
        <w:pStyle w:val="ListParagraph"/>
        <w:numPr>
          <w:ilvl w:val="0"/>
          <w:numId w:val="8"/>
        </w:numPr>
      </w:pPr>
      <w:r>
        <w:t>Fringe Benefits – FICA, health insurance, retirement, disability, etc.</w:t>
      </w:r>
    </w:p>
    <w:p w:rsidR="007C762B" w:rsidRDefault="00975E5C" w:rsidP="00E2123A">
      <w:pPr>
        <w:pStyle w:val="ListParagraph"/>
        <w:numPr>
          <w:ilvl w:val="0"/>
          <w:numId w:val="8"/>
        </w:numPr>
      </w:pPr>
      <w:r>
        <w:t>Consulting Fees – Outside contractors for specialized or infrequent work</w:t>
      </w:r>
    </w:p>
    <w:p w:rsidR="00E2123A" w:rsidRDefault="00E2123A" w:rsidP="00E2123A">
      <w:pPr>
        <w:rPr>
          <w:b/>
          <w:bCs/>
        </w:rPr>
      </w:pPr>
    </w:p>
    <w:p w:rsidR="007C762B" w:rsidRDefault="00975E5C" w:rsidP="00E2123A">
      <w:r>
        <w:rPr>
          <w:b/>
          <w:bCs/>
        </w:rPr>
        <w:t>Non-Personnel Costs</w:t>
      </w:r>
    </w:p>
    <w:p w:rsidR="007C762B" w:rsidRDefault="00975E5C" w:rsidP="00E2123A">
      <w:pPr>
        <w:pStyle w:val="ListParagraph"/>
        <w:numPr>
          <w:ilvl w:val="0"/>
          <w:numId w:val="9"/>
        </w:numPr>
      </w:pPr>
      <w:r>
        <w:t>Occupancy Costs – Rent, utilities, cleaning, insurance, repairs</w:t>
      </w:r>
    </w:p>
    <w:p w:rsidR="007C762B" w:rsidRDefault="00975E5C" w:rsidP="00E2123A">
      <w:pPr>
        <w:pStyle w:val="ListParagraph"/>
        <w:numPr>
          <w:ilvl w:val="0"/>
          <w:numId w:val="9"/>
        </w:numPr>
      </w:pPr>
      <w:r>
        <w:t>Travel &amp; Per Diem – Local and out-of-town travel for staff and consultants</w:t>
      </w:r>
    </w:p>
    <w:p w:rsidR="007C762B" w:rsidRDefault="00975E5C" w:rsidP="00E2123A">
      <w:pPr>
        <w:pStyle w:val="ListParagraph"/>
        <w:numPr>
          <w:ilvl w:val="0"/>
          <w:numId w:val="9"/>
        </w:numPr>
      </w:pPr>
      <w:r>
        <w:t>Program Costs – Workshops, printing, educational materials, client support, program supplies</w:t>
      </w:r>
    </w:p>
    <w:p w:rsidR="007C762B" w:rsidRDefault="00975E5C" w:rsidP="00E2123A">
      <w:pPr>
        <w:pStyle w:val="ListParagraph"/>
        <w:numPr>
          <w:ilvl w:val="0"/>
          <w:numId w:val="9"/>
        </w:numPr>
      </w:pPr>
      <w:r>
        <w:t>Administrative Costs – Telephone, office supplies, postage, membership dues, bank and credit card fees</w:t>
      </w:r>
    </w:p>
    <w:p w:rsidR="007C762B" w:rsidRDefault="00975E5C" w:rsidP="00E2123A">
      <w:pPr>
        <w:pStyle w:val="ListParagraph"/>
        <w:numPr>
          <w:ilvl w:val="0"/>
          <w:numId w:val="9"/>
        </w:numPr>
      </w:pPr>
      <w:r>
        <w:t>Equipment Purchase – Capital acquisitions (check with your accountant for proper treatment)</w:t>
      </w:r>
    </w:p>
    <w:p w:rsidR="007C762B" w:rsidRDefault="007C762B" w:rsidP="00E2123A"/>
    <w:p w:rsidR="007C762B" w:rsidRDefault="00975E5C" w:rsidP="00E2123A">
      <w:r>
        <w:rPr>
          <w:b/>
          <w:bCs/>
          <w:sz w:val="24"/>
          <w:szCs w:val="24"/>
        </w:rPr>
        <w:t>1.  Personnel</w:t>
      </w:r>
      <w:r w:rsidR="004A0807">
        <w:rPr>
          <w:b/>
          <w:bCs/>
          <w:sz w:val="24"/>
          <w:szCs w:val="24"/>
        </w:rPr>
        <w:t xml:space="preserve"> Costs</w:t>
      </w:r>
    </w:p>
    <w:p w:rsidR="007C762B" w:rsidRDefault="00975E5C" w:rsidP="00E2123A">
      <w:r>
        <w:rPr>
          <w:b/>
          <w:bCs/>
        </w:rPr>
        <w:t>Staff Salaries</w:t>
      </w:r>
    </w:p>
    <w:p w:rsidR="007C762B" w:rsidRDefault="00975E5C" w:rsidP="00E2123A">
      <w:r>
        <w:t>Paid staff fall into two categories: permanent employees (salary + fringe benefits) and temporary workers or consultants (fees). The Salaries Tab of the Budget Worksheet spreadsheet helps you calculate salary costs systematically.</w:t>
      </w:r>
    </w:p>
    <w:p w:rsidR="007C762B" w:rsidRDefault="007C762B" w:rsidP="00E2123A"/>
    <w:p w:rsidR="007C762B" w:rsidRDefault="00975E5C" w:rsidP="00E2123A">
      <w:r>
        <w:t>In the Salaries Tab, list all staff positions—current and proposed. Create a column for each program or department. Then:</w:t>
      </w:r>
    </w:p>
    <w:p w:rsidR="007C762B" w:rsidRDefault="007C762B" w:rsidP="00E2123A"/>
    <w:p w:rsidR="007C762B" w:rsidRDefault="00975E5C" w:rsidP="00E2123A">
      <w:pPr>
        <w:pStyle w:val="ListParagraph"/>
        <w:numPr>
          <w:ilvl w:val="0"/>
          <w:numId w:val="5"/>
        </w:numPr>
      </w:pPr>
      <w:r>
        <w:t>Allocate salaries for staff across the departments.</w:t>
      </w:r>
    </w:p>
    <w:p w:rsidR="007C762B" w:rsidRDefault="00975E5C" w:rsidP="00E2123A">
      <w:pPr>
        <w:pStyle w:val="ListParagraph"/>
        <w:numPr>
          <w:ilvl w:val="0"/>
          <w:numId w:val="5"/>
        </w:numPr>
      </w:pPr>
      <w:r>
        <w:t>The total for each department will transfer automatically to the Summary Tab. Entering monthly figures will also help with cash flow projections.</w:t>
      </w:r>
    </w:p>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762B">
        <w:tc>
          <w:tcPr>
            <w:tcW w:w="9360" w:type="dxa"/>
            <w:tcBorders>
              <w:top w:val="nil"/>
              <w:left w:val="nil"/>
              <w:bottom w:val="nil"/>
              <w:right w:val="nil"/>
            </w:tcBorders>
            <w:shd w:val="clear" w:color="auto" w:fill="EBEBEB"/>
            <w:tcMar>
              <w:top w:w="100" w:type="dxa"/>
              <w:left w:w="200" w:type="dxa"/>
              <w:bottom w:w="40" w:type="dxa"/>
              <w:right w:w="120" w:type="dxa"/>
            </w:tcMar>
          </w:tcPr>
          <w:p w:rsidR="007C762B" w:rsidRDefault="00975E5C" w:rsidP="00E2123A">
            <w:r>
              <w:rPr>
                <w:b/>
                <w:bCs/>
              </w:rPr>
              <w:lastRenderedPageBreak/>
              <w:t>Pro Tip: FTE Allocation</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Even part-time employees and contractors should have their time allocated across programs.</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If a program manager splits time between two programs, that cost belongs in both program budgets—not just one.</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Funders often ask for this breakdown. Building it into your budget from the start saves time during reporting.</w:t>
            </w:r>
          </w:p>
        </w:tc>
      </w:tr>
      <w:tr w:rsidR="007C762B">
        <w:tc>
          <w:tcPr>
            <w:tcW w:w="9360" w:type="dxa"/>
            <w:tcBorders>
              <w:top w:val="nil"/>
              <w:left w:val="nil"/>
              <w:bottom w:val="nil"/>
              <w:right w:val="nil"/>
            </w:tcBorders>
            <w:shd w:val="clear" w:color="auto" w:fill="EBEBEB"/>
            <w:tcMar>
              <w:top w:w="60" w:type="dxa"/>
              <w:left w:w="200" w:type="dxa"/>
              <w:bottom w:w="0" w:type="dxa"/>
              <w:right w:w="120" w:type="dxa"/>
            </w:tcMar>
          </w:tcPr>
          <w:p w:rsidR="007C762B" w:rsidRDefault="007C762B" w:rsidP="00E2123A"/>
        </w:tc>
      </w:tr>
    </w:tbl>
    <w:p w:rsidR="00E2123A" w:rsidRDefault="00E2123A" w:rsidP="00E2123A">
      <w:pPr>
        <w:rPr>
          <w:b/>
          <w:bCs/>
        </w:rPr>
      </w:pPr>
    </w:p>
    <w:p w:rsidR="007C762B" w:rsidRDefault="00975E5C" w:rsidP="00E2123A">
      <w:r>
        <w:rPr>
          <w:b/>
          <w:bCs/>
        </w:rPr>
        <w:t>Fringe Benefits</w:t>
      </w:r>
    </w:p>
    <w:p w:rsidR="007C762B" w:rsidRDefault="00975E5C" w:rsidP="00E2123A">
      <w:r>
        <w:t>In addition to salaries, staff costs include fringe benefits such as:</w:t>
      </w:r>
    </w:p>
    <w:p w:rsidR="007C762B" w:rsidRDefault="007C762B" w:rsidP="00E2123A"/>
    <w:p w:rsidR="004A0807" w:rsidRDefault="00975E5C" w:rsidP="00E2123A">
      <w:pPr>
        <w:pStyle w:val="ListParagraph"/>
        <w:numPr>
          <w:ilvl w:val="0"/>
          <w:numId w:val="6"/>
        </w:numPr>
      </w:pPr>
      <w:r>
        <w:t>FICA (Social Security and Medicare taxes</w:t>
      </w:r>
      <w:r w:rsidR="004A0807">
        <w:t>)</w:t>
      </w:r>
    </w:p>
    <w:p w:rsidR="007C762B" w:rsidRDefault="004A0807" w:rsidP="00E2123A">
      <w:pPr>
        <w:pStyle w:val="ListParagraph"/>
        <w:numPr>
          <w:ilvl w:val="0"/>
          <w:numId w:val="6"/>
        </w:numPr>
      </w:pPr>
      <w:r>
        <w:t xml:space="preserve"> </w:t>
      </w:r>
      <w:r w:rsidR="00975E5C">
        <w:t>State Unemployment Insurance (SUI)</w:t>
      </w:r>
    </w:p>
    <w:p w:rsidR="007C762B" w:rsidRDefault="00975E5C" w:rsidP="00E2123A">
      <w:pPr>
        <w:pStyle w:val="ListParagraph"/>
        <w:numPr>
          <w:ilvl w:val="0"/>
          <w:numId w:val="6"/>
        </w:numPr>
      </w:pPr>
      <w:r>
        <w:t>Workers’ Compensation</w:t>
      </w:r>
    </w:p>
    <w:p w:rsidR="007C762B" w:rsidRDefault="00975E5C" w:rsidP="00E2123A">
      <w:pPr>
        <w:pStyle w:val="ListParagraph"/>
        <w:numPr>
          <w:ilvl w:val="0"/>
          <w:numId w:val="6"/>
        </w:numPr>
      </w:pPr>
      <w:r>
        <w:t>Short-term Disability</w:t>
      </w:r>
    </w:p>
    <w:p w:rsidR="007C762B" w:rsidRDefault="00975E5C" w:rsidP="00E2123A">
      <w:pPr>
        <w:pStyle w:val="ListParagraph"/>
        <w:numPr>
          <w:ilvl w:val="0"/>
          <w:numId w:val="6"/>
        </w:numPr>
      </w:pPr>
      <w:r>
        <w:t>Retirement/pension contributions (per your personnel policy)</w:t>
      </w:r>
    </w:p>
    <w:p w:rsidR="007C762B" w:rsidRDefault="00975E5C" w:rsidP="00E2123A">
      <w:pPr>
        <w:pStyle w:val="ListParagraph"/>
        <w:numPr>
          <w:ilvl w:val="0"/>
          <w:numId w:val="6"/>
        </w:numPr>
      </w:pPr>
      <w:r>
        <w:t>Health Insurance (fixed amount per staff member; confirm with your insurance vendor)</w:t>
      </w:r>
    </w:p>
    <w:p w:rsidR="007C762B" w:rsidRDefault="00975E5C" w:rsidP="00E2123A">
      <w:pPr>
        <w:pStyle w:val="ListParagraph"/>
        <w:numPr>
          <w:ilvl w:val="0"/>
          <w:numId w:val="6"/>
        </w:numPr>
      </w:pPr>
      <w:r>
        <w:t>Life Insurance</w:t>
      </w:r>
    </w:p>
    <w:p w:rsidR="007C762B" w:rsidRDefault="007C762B" w:rsidP="00E2123A"/>
    <w:p w:rsidR="007C762B" w:rsidRDefault="00975E5C" w:rsidP="00E2123A">
      <w:r>
        <w:t>Use the FB (Fringe Benefits) Tab to calculate fringe benefit costs for each staff member. The FB Tab calculates an agency fringe benefit rate by dividing total fringe costs by total salaries. Review that rate and, if needed, enter an adjusted rate in the highlighted cell at the bottom of the Fringe Benefits column. That rate will then be applied across all departments in the Summary Tab.</w:t>
      </w:r>
    </w:p>
    <w:p w:rsidR="007C762B" w:rsidRDefault="007C762B" w:rsidP="00E2123A"/>
    <w:p w:rsidR="007C762B" w:rsidRDefault="00975E5C" w:rsidP="00E2123A">
      <w:r>
        <w:t>Transfer the department totals to the Summary Tab once the fringe benefit rate is confirmed.</w:t>
      </w:r>
    </w:p>
    <w:p w:rsidR="007C762B" w:rsidRDefault="007C762B" w:rsidP="00E2123A"/>
    <w:p w:rsidR="007C762B" w:rsidRDefault="00975E5C" w:rsidP="00E2123A">
      <w:r>
        <w:rPr>
          <w:b/>
          <w:bCs/>
        </w:rPr>
        <w:t>Consulting Fees</w:t>
      </w:r>
    </w:p>
    <w:p w:rsidR="007C762B" w:rsidRDefault="00975E5C" w:rsidP="00E2123A">
      <w:r>
        <w:t>While most activities are carried out by permanent staff, specialized or infrequent activities are more appropriately assigned to outside individuals or firms. Review your work plans to identify activities not covered by current job descriptions.</w:t>
      </w:r>
    </w:p>
    <w:p w:rsidR="007C762B" w:rsidRDefault="007C762B" w:rsidP="00E2123A"/>
    <w:p w:rsidR="007C762B" w:rsidRDefault="00975E5C" w:rsidP="00E2123A">
      <w:r>
        <w:t>Common consulting engagements include:</w:t>
      </w:r>
    </w:p>
    <w:p w:rsidR="007C762B" w:rsidRDefault="007C762B" w:rsidP="00E2123A"/>
    <w:p w:rsidR="007C762B" w:rsidRDefault="004A0807" w:rsidP="00E2123A">
      <w:pPr>
        <w:pStyle w:val="ListParagraph"/>
        <w:numPr>
          <w:ilvl w:val="0"/>
          <w:numId w:val="7"/>
        </w:numPr>
      </w:pPr>
      <w:r>
        <w:t>Instructors</w:t>
      </w:r>
    </w:p>
    <w:p w:rsidR="007C762B" w:rsidRDefault="00975E5C" w:rsidP="00E2123A">
      <w:pPr>
        <w:pStyle w:val="ListParagraph"/>
        <w:numPr>
          <w:ilvl w:val="0"/>
          <w:numId w:val="7"/>
        </w:numPr>
      </w:pPr>
      <w:r>
        <w:t>Development of marketing materials</w:t>
      </w:r>
    </w:p>
    <w:p w:rsidR="007C762B" w:rsidRDefault="00975E5C" w:rsidP="00E2123A">
      <w:pPr>
        <w:pStyle w:val="ListParagraph"/>
        <w:numPr>
          <w:ilvl w:val="0"/>
          <w:numId w:val="7"/>
        </w:numPr>
      </w:pPr>
      <w:r>
        <w:t xml:space="preserve">Financial </w:t>
      </w:r>
      <w:r w:rsidR="00E2123A">
        <w:t>services</w:t>
      </w:r>
    </w:p>
    <w:p w:rsidR="004A0807" w:rsidRDefault="004A0807" w:rsidP="00E2123A">
      <w:pPr>
        <w:pStyle w:val="ListParagraph"/>
        <w:numPr>
          <w:ilvl w:val="0"/>
          <w:numId w:val="7"/>
        </w:numPr>
      </w:pPr>
      <w:r>
        <w:t xml:space="preserve">IT </w:t>
      </w:r>
      <w:r w:rsidR="00E2123A">
        <w:t>s</w:t>
      </w:r>
      <w:r>
        <w:t>upport</w:t>
      </w:r>
    </w:p>
    <w:p w:rsidR="007C762B" w:rsidRDefault="00975E5C" w:rsidP="00E2123A">
      <w:pPr>
        <w:pStyle w:val="ListParagraph"/>
        <w:numPr>
          <w:ilvl w:val="0"/>
          <w:numId w:val="7"/>
        </w:numPr>
      </w:pPr>
      <w:r>
        <w:t>Annual audit</w:t>
      </w:r>
    </w:p>
    <w:p w:rsidR="00E2123A" w:rsidRDefault="00E2123A" w:rsidP="00E2123A">
      <w:pPr>
        <w:pStyle w:val="ListParagraph"/>
        <w:numPr>
          <w:ilvl w:val="0"/>
          <w:numId w:val="7"/>
        </w:numPr>
      </w:pPr>
      <w:r>
        <w:t>Grant writers</w:t>
      </w:r>
    </w:p>
    <w:p w:rsidR="007C762B" w:rsidRDefault="00975E5C" w:rsidP="00E2123A">
      <w:pPr>
        <w:pStyle w:val="ListParagraph"/>
        <w:numPr>
          <w:ilvl w:val="0"/>
          <w:numId w:val="7"/>
        </w:numPr>
      </w:pPr>
      <w:r>
        <w:t>Legal services</w:t>
      </w:r>
    </w:p>
    <w:p w:rsidR="007C762B" w:rsidRDefault="007C762B" w:rsidP="00E2123A"/>
    <w:p w:rsidR="00E2123A" w:rsidRDefault="00E2123A">
      <w:r>
        <w:br w:type="page"/>
      </w:r>
    </w:p>
    <w:p w:rsidR="007C762B" w:rsidRDefault="00975E5C" w:rsidP="00E2123A">
      <w:r>
        <w:lastRenderedPageBreak/>
        <w:t>For each consulting assignment:</w:t>
      </w:r>
    </w:p>
    <w:p w:rsidR="007C762B" w:rsidRDefault="00975E5C" w:rsidP="00E2123A">
      <w:pPr>
        <w:pStyle w:val="ListParagraph"/>
        <w:numPr>
          <w:ilvl w:val="0"/>
          <w:numId w:val="2"/>
        </w:numPr>
      </w:pPr>
      <w:r>
        <w:t>Estimate the number of days required,</w:t>
      </w:r>
    </w:p>
    <w:p w:rsidR="007C762B" w:rsidRDefault="00975E5C" w:rsidP="00E2123A">
      <w:pPr>
        <w:pStyle w:val="ListParagraph"/>
        <w:numPr>
          <w:ilvl w:val="0"/>
          <w:numId w:val="2"/>
        </w:numPr>
      </w:pPr>
      <w:r>
        <w:t>Research the daily rate by asking peer organizations or the consultants directly, and</w:t>
      </w:r>
    </w:p>
    <w:p w:rsidR="007C762B" w:rsidRDefault="00975E5C" w:rsidP="00E2123A">
      <w:pPr>
        <w:pStyle w:val="ListParagraph"/>
        <w:numPr>
          <w:ilvl w:val="0"/>
          <w:numId w:val="2"/>
        </w:numPr>
      </w:pPr>
      <w:r>
        <w:t>Multiply days × rate to get your budget figure.</w:t>
      </w:r>
    </w:p>
    <w:p w:rsidR="007C762B" w:rsidRDefault="007C762B" w:rsidP="00E2123A"/>
    <w:p w:rsidR="007C762B" w:rsidRDefault="00975E5C" w:rsidP="00E2123A">
      <w:r>
        <w:t>Enter totals in the appropriate Program Tab (Program 1, 2, or 3) or the Summary Tab.</w:t>
      </w:r>
    </w:p>
    <w:p w:rsidR="007C762B" w:rsidRDefault="007C762B" w:rsidP="00E2123A"/>
    <w:p w:rsidR="007C762B" w:rsidRDefault="00975E5C" w:rsidP="00E2123A">
      <w:r>
        <w:rPr>
          <w:b/>
          <w:bCs/>
          <w:sz w:val="24"/>
          <w:szCs w:val="24"/>
        </w:rPr>
        <w:t>2.  Non-Personnel Costs</w:t>
      </w:r>
    </w:p>
    <w:p w:rsidR="007C762B" w:rsidRDefault="00975E5C" w:rsidP="00E2123A">
      <w:r>
        <w:rPr>
          <w:b/>
          <w:bCs/>
        </w:rPr>
        <w:t>Occupancy Costs</w:t>
      </w:r>
    </w:p>
    <w:p w:rsidR="007C762B" w:rsidRDefault="00975E5C" w:rsidP="00E2123A">
      <w:r>
        <w:t>All expenses related to your office space belong here: rent, utilities, cleaning, repairs, and liability/theft insurance. Enter these in the relevant Program Tab or the Summary Tab of the Budget Worksheet spreadsheet.</w:t>
      </w:r>
    </w:p>
    <w:p w:rsidR="007C762B" w:rsidRDefault="007C762B" w:rsidP="00E2123A"/>
    <w:p w:rsidR="007C762B" w:rsidRDefault="00975E5C" w:rsidP="00E2123A">
      <w:r>
        <w:rPr>
          <w:b/>
          <w:bCs/>
        </w:rPr>
        <w:t>Travel and Per Diem Expenses</w:t>
      </w:r>
    </w:p>
    <w:p w:rsidR="007C762B" w:rsidRDefault="00975E5C" w:rsidP="00E2123A">
      <w:r>
        <w:t>Group travel costs by type of trip in the appropriate Program Tab. Include:</w:t>
      </w:r>
    </w:p>
    <w:p w:rsidR="007C762B" w:rsidRDefault="007C762B" w:rsidP="00E2123A"/>
    <w:p w:rsidR="007C762B" w:rsidRDefault="00975E5C" w:rsidP="00E2123A">
      <w:pPr>
        <w:pStyle w:val="ListParagraph"/>
        <w:numPr>
          <w:ilvl w:val="0"/>
          <w:numId w:val="2"/>
        </w:numPr>
      </w:pPr>
      <w:r>
        <w:t>Local travel (buses, subways, taxis, parking, tolls)—typically low cost, no per diem</w:t>
      </w:r>
    </w:p>
    <w:p w:rsidR="007C762B" w:rsidRDefault="00975E5C" w:rsidP="00E2123A">
      <w:pPr>
        <w:pStyle w:val="ListParagraph"/>
        <w:numPr>
          <w:ilvl w:val="0"/>
          <w:numId w:val="2"/>
        </w:numPr>
      </w:pPr>
      <w:r>
        <w:t>Out-of-town travel (airline tickets, hotel, per diem for meals)</w:t>
      </w:r>
    </w:p>
    <w:p w:rsidR="007C762B" w:rsidRDefault="00975E5C" w:rsidP="00E2123A">
      <w:pPr>
        <w:pStyle w:val="ListParagraph"/>
        <w:numPr>
          <w:ilvl w:val="0"/>
          <w:numId w:val="2"/>
        </w:numPr>
      </w:pPr>
      <w:r>
        <w:t>Travel for both staff and consultants</w:t>
      </w:r>
    </w:p>
    <w:p w:rsidR="007C762B" w:rsidRDefault="007C762B" w:rsidP="00E2123A"/>
    <w:p w:rsidR="007C762B" w:rsidRDefault="00975E5C" w:rsidP="00E2123A">
      <w:r>
        <w:rPr>
          <w:b/>
          <w:bCs/>
        </w:rPr>
        <w:t>Program Costs</w:t>
      </w:r>
    </w:p>
    <w:p w:rsidR="007C762B" w:rsidRDefault="00975E5C" w:rsidP="00E2123A">
      <w:r>
        <w:t>A separate section can be created that lists all program-related expenses. These can include such expenses as workshops, printing, educational materials, and client support. Be specific enough that funders can easily see what they’re supporting. Enter these costs in the Program 1, 2, or 3 Tabs as applicable.</w:t>
      </w:r>
    </w:p>
    <w:p w:rsidR="007C762B" w:rsidRDefault="007C762B" w:rsidP="00E2123A"/>
    <w:p w:rsidR="007C762B" w:rsidRDefault="00975E5C" w:rsidP="00E2123A">
      <w:r>
        <w:rPr>
          <w:b/>
          <w:bCs/>
        </w:rPr>
        <w:t>Administrative Expenses</w:t>
      </w:r>
    </w:p>
    <w:p w:rsidR="007C762B" w:rsidRDefault="00975E5C" w:rsidP="00E2123A">
      <w:r>
        <w:t>The final cost category covers overhead expenses. Common items include:</w:t>
      </w:r>
    </w:p>
    <w:p w:rsidR="007C762B" w:rsidRDefault="007C762B" w:rsidP="00E2123A"/>
    <w:p w:rsidR="007C762B" w:rsidRDefault="00975E5C" w:rsidP="00E2123A">
      <w:pPr>
        <w:pStyle w:val="ListParagraph"/>
        <w:numPr>
          <w:ilvl w:val="0"/>
          <w:numId w:val="2"/>
        </w:numPr>
      </w:pPr>
      <w:r>
        <w:t>Equipment rental</w:t>
      </w:r>
    </w:p>
    <w:p w:rsidR="007C762B" w:rsidRDefault="00975E5C" w:rsidP="00E2123A">
      <w:pPr>
        <w:pStyle w:val="ListParagraph"/>
        <w:numPr>
          <w:ilvl w:val="0"/>
          <w:numId w:val="2"/>
        </w:numPr>
      </w:pPr>
      <w:r>
        <w:t>Telephone and internet</w:t>
      </w:r>
    </w:p>
    <w:p w:rsidR="007C762B" w:rsidRDefault="00975E5C" w:rsidP="00E2123A">
      <w:pPr>
        <w:pStyle w:val="ListParagraph"/>
        <w:numPr>
          <w:ilvl w:val="0"/>
          <w:numId w:val="2"/>
        </w:numPr>
      </w:pPr>
      <w:r>
        <w:t>Office supplies and postage</w:t>
      </w:r>
    </w:p>
    <w:p w:rsidR="007C762B" w:rsidRDefault="00975E5C" w:rsidP="00E2123A">
      <w:pPr>
        <w:pStyle w:val="ListParagraph"/>
        <w:numPr>
          <w:ilvl w:val="0"/>
          <w:numId w:val="2"/>
        </w:numPr>
      </w:pPr>
      <w:r>
        <w:t>Membership dues</w:t>
      </w:r>
    </w:p>
    <w:p w:rsidR="007C762B" w:rsidRDefault="00975E5C" w:rsidP="00E2123A">
      <w:pPr>
        <w:pStyle w:val="ListParagraph"/>
        <w:numPr>
          <w:ilvl w:val="0"/>
          <w:numId w:val="2"/>
        </w:numPr>
      </w:pPr>
      <w:r>
        <w:t>Website hosting</w:t>
      </w:r>
    </w:p>
    <w:p w:rsidR="007C762B" w:rsidRDefault="00975E5C" w:rsidP="00E2123A">
      <w:pPr>
        <w:pStyle w:val="ListParagraph"/>
        <w:numPr>
          <w:ilvl w:val="0"/>
          <w:numId w:val="2"/>
        </w:numPr>
      </w:pPr>
      <w:r>
        <w:t>Directors &amp; Officers (D&amp;O) Insurance</w:t>
      </w:r>
    </w:p>
    <w:p w:rsidR="007C762B" w:rsidRDefault="00975E5C" w:rsidP="00E2123A">
      <w:pPr>
        <w:pStyle w:val="ListParagraph"/>
        <w:numPr>
          <w:ilvl w:val="0"/>
          <w:numId w:val="2"/>
        </w:numPr>
      </w:pPr>
      <w:r>
        <w:t>Registration fees</w:t>
      </w:r>
    </w:p>
    <w:p w:rsidR="007C762B" w:rsidRDefault="00975E5C" w:rsidP="00E2123A">
      <w:pPr>
        <w:pStyle w:val="ListParagraph"/>
        <w:numPr>
          <w:ilvl w:val="0"/>
          <w:numId w:val="2"/>
        </w:numPr>
      </w:pPr>
      <w:r>
        <w:t>Bank fees and credit card fees</w:t>
      </w:r>
    </w:p>
    <w:p w:rsidR="007C762B" w:rsidRDefault="007C762B" w:rsidP="00E2123A"/>
    <w:p w:rsidR="007C762B" w:rsidRDefault="00975E5C" w:rsidP="00E2123A">
      <w:r>
        <w:t>Note that programs will also have direct program expenses entered here. If they are administrative, enter them on the Summary Tab. If they are programmatic in nature, enter them in the appropriate Program Tab and they will be automatically reflected in the Summary Tab.</w:t>
      </w:r>
    </w:p>
    <w:p w:rsidR="007C762B" w:rsidRDefault="007C762B" w:rsidP="00E2123A"/>
    <w:p w:rsidR="007C762B" w:rsidRDefault="00975E5C" w:rsidP="00E2123A">
      <w:r>
        <w:rPr>
          <w:b/>
          <w:bCs/>
        </w:rPr>
        <w:t>Equipment Purchase</w:t>
      </w:r>
    </w:p>
    <w:p w:rsidR="007C762B" w:rsidRDefault="00975E5C" w:rsidP="00E2123A">
      <w:r>
        <w:t xml:space="preserve">When preparing an annual budget, include the cost of new equipment and furniture. You may enter these in the Summary Tab or on a separate line in the relevant Program </w:t>
      </w:r>
      <w:r>
        <w:lastRenderedPageBreak/>
        <w:t>Tab. Always check with your accountant to ensure proper accounting treatment of capital acquisitions—some may need to be depreciated rather than expensed in full.</w:t>
      </w:r>
    </w:p>
    <w:p w:rsidR="007C762B" w:rsidRDefault="007C762B" w:rsidP="00E2123A"/>
    <w:p w:rsidR="00E2123A" w:rsidRDefault="00E2123A"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8460"/>
      </w:tblGrid>
      <w:tr w:rsidR="007C762B">
        <w:tc>
          <w:tcPr>
            <w:tcW w:w="900" w:type="dxa"/>
            <w:tcBorders>
              <w:top w:val="nil"/>
              <w:left w:val="nil"/>
              <w:bottom w:val="nil"/>
              <w:right w:val="nil"/>
            </w:tcBorders>
            <w:shd w:val="clear" w:color="auto" w:fill="404040"/>
            <w:tcMar>
              <w:top w:w="80" w:type="dxa"/>
              <w:left w:w="120" w:type="dxa"/>
              <w:bottom w:w="80" w:type="dxa"/>
              <w:right w:w="120" w:type="dxa"/>
            </w:tcMar>
            <w:vAlign w:val="center"/>
          </w:tcPr>
          <w:p w:rsidR="007C762B" w:rsidRDefault="00975E5C" w:rsidP="00E2123A">
            <w:pPr>
              <w:jc w:val="center"/>
            </w:pPr>
            <w:r>
              <w:rPr>
                <w:b/>
                <w:bCs/>
                <w:color w:val="FFFFFF"/>
                <w:sz w:val="36"/>
                <w:szCs w:val="36"/>
              </w:rPr>
              <w:t>D</w:t>
            </w:r>
          </w:p>
        </w:tc>
        <w:tc>
          <w:tcPr>
            <w:tcW w:w="8460" w:type="dxa"/>
            <w:tcBorders>
              <w:top w:val="nil"/>
              <w:left w:val="nil"/>
              <w:bottom w:val="nil"/>
              <w:right w:val="nil"/>
            </w:tcBorders>
            <w:shd w:val="clear" w:color="auto" w:fill="404040"/>
            <w:tcMar>
              <w:top w:w="80" w:type="dxa"/>
              <w:left w:w="180" w:type="dxa"/>
              <w:bottom w:w="80" w:type="dxa"/>
              <w:right w:w="120" w:type="dxa"/>
            </w:tcMar>
            <w:vAlign w:val="center"/>
          </w:tcPr>
          <w:p w:rsidR="007C762B" w:rsidRDefault="00975E5C" w:rsidP="00E2123A">
            <w:pPr>
              <w:jc w:val="center"/>
            </w:pPr>
            <w:r>
              <w:rPr>
                <w:b/>
                <w:bCs/>
                <w:color w:val="FFFFFF"/>
                <w:sz w:val="28"/>
                <w:szCs w:val="28"/>
              </w:rPr>
              <w:t>Sources of Funding</w:t>
            </w:r>
          </w:p>
        </w:tc>
      </w:tr>
    </w:tbl>
    <w:p w:rsidR="007C762B" w:rsidRDefault="007C762B" w:rsidP="00E2123A"/>
    <w:p w:rsidR="007C762B" w:rsidRDefault="00975E5C" w:rsidP="00E2123A">
      <w:r>
        <w:t>Once you have determined your total budget, identify where those resources will come from. The Income Detail Tab of the Budget Worksheet spreadsheet helps you map expenses to their funding sources.</w:t>
      </w:r>
    </w:p>
    <w:p w:rsidR="007C762B" w:rsidRDefault="007C762B" w:rsidP="00E2123A"/>
    <w:p w:rsidR="007C762B" w:rsidRDefault="00975E5C" w:rsidP="00E2123A">
      <w:r>
        <w:rPr>
          <w:b/>
          <w:bCs/>
          <w:sz w:val="24"/>
          <w:szCs w:val="24"/>
        </w:rPr>
        <w:t>Income Categories at a Glance</w:t>
      </w:r>
    </w:p>
    <w:p w:rsidR="007C762B" w:rsidRDefault="00975E5C" w:rsidP="00E2123A">
      <w:r>
        <w:t>Nonprofit revenue falls into four broad categories. Understanding how each type works helps you budget realistically and communicate clearly with funders and board members.</w:t>
      </w:r>
    </w:p>
    <w:p w:rsidR="007C762B" w:rsidRDefault="007C762B" w:rsidP="00E2123A"/>
    <w:p w:rsidR="007C762B" w:rsidRDefault="00975E5C" w:rsidP="00E2123A">
      <w:r>
        <w:rPr>
          <w:b/>
          <w:bCs/>
        </w:rPr>
        <w:t>Contributed Revenue</w:t>
      </w:r>
    </w:p>
    <w:p w:rsidR="007C762B" w:rsidRDefault="00975E5C" w:rsidP="00E2123A">
      <w:r>
        <w:t>Gifts and grants given to the organization without expectation of a direct exchange of goods or services. This includes individual donations, foundation grants, and corporate contributions. May be unrestricted (available for any purpose) or restricted (designated by the donor for a specific program or time period).</w:t>
      </w:r>
    </w:p>
    <w:p w:rsidR="007C762B" w:rsidRDefault="007C762B" w:rsidP="00E2123A"/>
    <w:p w:rsidR="007C762B" w:rsidRDefault="00975E5C" w:rsidP="00E2123A">
      <w:r>
        <w:rPr>
          <w:b/>
          <w:bCs/>
        </w:rPr>
        <w:t>Government Contracts</w:t>
      </w:r>
    </w:p>
    <w:p w:rsidR="007C762B" w:rsidRDefault="00975E5C" w:rsidP="00E2123A">
      <w:r>
        <w:t>Payments from federal, state, or local government agencies for the delivery of specific services. Unlike grants, contracts typically require the organization to meet defined performance targets and deliverables. Government contracts are often reimbursement-based—the organization spends first and bills afterward—making cash flow planning especially important.</w:t>
      </w:r>
    </w:p>
    <w:p w:rsidR="007C762B" w:rsidRDefault="007C762B" w:rsidP="00E2123A"/>
    <w:p w:rsidR="007C762B" w:rsidRDefault="00975E5C" w:rsidP="00E2123A">
      <w:r>
        <w:rPr>
          <w:b/>
          <w:bCs/>
        </w:rPr>
        <w:t>Earned Income</w:t>
      </w:r>
    </w:p>
    <w:p w:rsidR="007C762B" w:rsidRDefault="00975E5C" w:rsidP="00E2123A">
      <w:r>
        <w:t>Revenue generated through the organization’s own activities in exchange for goods or services. Examples include program fees, tuition, ticket sales, consulting income, rental income, and publication sales. Earned income is generally unrestricted and provides the organization with flexible operating funds.</w:t>
      </w:r>
    </w:p>
    <w:p w:rsidR="007C762B" w:rsidRDefault="007C762B" w:rsidP="00E2123A"/>
    <w:p w:rsidR="007C762B" w:rsidRDefault="00975E5C" w:rsidP="00E2123A">
      <w:r>
        <w:rPr>
          <w:b/>
          <w:bCs/>
        </w:rPr>
        <w:t>In-Kind Revenue</w:t>
      </w:r>
    </w:p>
    <w:p w:rsidR="007C762B" w:rsidRDefault="00975E5C" w:rsidP="00E2123A">
      <w:r>
        <w:t>The fair market value of donated goods or services received by the organization. Common examples include donated office space, equipment, legal or accounting services, and volunteer professional time. In-kind contributions are recorded as both revenue and expense when they are material and would otherwise need to be purchased.</w:t>
      </w:r>
    </w:p>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7C762B">
        <w:tc>
          <w:tcPr>
            <w:tcW w:w="2800" w:type="dxa"/>
            <w:tcBorders>
              <w:top w:val="single" w:sz="4" w:space="0" w:color="666666"/>
              <w:left w:val="single" w:sz="4" w:space="0" w:color="666666"/>
              <w:bottom w:val="single" w:sz="4" w:space="0" w:color="666666"/>
              <w:right w:val="single" w:sz="4" w:space="0" w:color="666666"/>
            </w:tcBorders>
            <w:shd w:val="clear" w:color="auto" w:fill="404040"/>
            <w:tcMar>
              <w:top w:w="80" w:type="dxa"/>
              <w:left w:w="120" w:type="dxa"/>
              <w:bottom w:w="80" w:type="dxa"/>
              <w:right w:w="120" w:type="dxa"/>
            </w:tcMar>
          </w:tcPr>
          <w:p w:rsidR="007C762B" w:rsidRDefault="00975E5C" w:rsidP="00E2123A">
            <w:pPr>
              <w:jc w:val="center"/>
            </w:pPr>
            <w:r>
              <w:rPr>
                <w:b/>
                <w:bCs/>
                <w:color w:val="FFFFFF"/>
              </w:rPr>
              <w:t>Income Detail Tab Column</w:t>
            </w:r>
          </w:p>
        </w:tc>
        <w:tc>
          <w:tcPr>
            <w:tcW w:w="6560" w:type="dxa"/>
            <w:tcBorders>
              <w:top w:val="single" w:sz="4" w:space="0" w:color="666666"/>
              <w:left w:val="single" w:sz="4" w:space="0" w:color="666666"/>
              <w:bottom w:val="single" w:sz="4" w:space="0" w:color="666666"/>
              <w:right w:val="single" w:sz="4" w:space="0" w:color="666666"/>
            </w:tcBorders>
            <w:shd w:val="clear" w:color="auto" w:fill="404040"/>
            <w:tcMar>
              <w:top w:w="80" w:type="dxa"/>
              <w:left w:w="120" w:type="dxa"/>
              <w:bottom w:w="80" w:type="dxa"/>
              <w:right w:w="120" w:type="dxa"/>
            </w:tcMar>
          </w:tcPr>
          <w:p w:rsidR="007C762B" w:rsidRDefault="00975E5C" w:rsidP="00E2123A">
            <w:pPr>
              <w:jc w:val="center"/>
            </w:pPr>
            <w:r>
              <w:rPr>
                <w:b/>
                <w:bCs/>
                <w:color w:val="FFFFFF"/>
              </w:rPr>
              <w:t>What to Enter</w:t>
            </w:r>
          </w:p>
        </w:tc>
      </w:tr>
      <w:tr w:rsidR="002A67B1">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2A67B1" w:rsidRDefault="002A67B1" w:rsidP="00E2123A">
            <w:r>
              <w:t>Column B</w:t>
            </w:r>
          </w:p>
        </w:tc>
        <w:tc>
          <w:tcPr>
            <w:tcW w:w="6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2A67B1" w:rsidRDefault="002A67B1" w:rsidP="00E2123A">
            <w:r>
              <w:t xml:space="preserve">Add the names of foundation grants, corporate donations, and government contracts that you have or are </w:t>
            </w:r>
            <w:r>
              <w:lastRenderedPageBreak/>
              <w:t>projecting.  Indicate whether they have been approved, are in process, or are to be submitted.</w:t>
            </w:r>
          </w:p>
        </w:tc>
      </w:tr>
      <w:tr w:rsidR="007C762B">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lastRenderedPageBreak/>
              <w:t xml:space="preserve">Column C </w:t>
            </w:r>
          </w:p>
        </w:tc>
        <w:tc>
          <w:tcPr>
            <w:tcW w:w="6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2A67B1" w:rsidP="00E2123A">
            <w:r>
              <w:t xml:space="preserve">Enter the amount requested.  </w:t>
            </w:r>
          </w:p>
        </w:tc>
      </w:tr>
      <w:tr w:rsidR="007C762B">
        <w:tc>
          <w:tcPr>
            <w:tcW w:w="280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Column D</w:t>
            </w:r>
          </w:p>
        </w:tc>
        <w:tc>
          <w:tcPr>
            <w:tcW w:w="656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4A0807" w:rsidP="00E2123A">
            <w:r>
              <w:t xml:space="preserve">Estimate a discount rate which calculates the probability of  the funds.  Approved grants would be valued at 100%.  Grant/contract applications that have been submitted should be assigned a probability based on information on hand.  The last line is the amount of grant proposals to be submitted-generally some of these will be awarded.  Start with a 20% probability of receipt.  </w:t>
            </w:r>
          </w:p>
        </w:tc>
      </w:tr>
      <w:tr w:rsidR="007C762B">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 xml:space="preserve">Column E </w:t>
            </w:r>
          </w:p>
        </w:tc>
        <w:tc>
          <w:tcPr>
            <w:tcW w:w="6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4A0807" w:rsidP="00E2123A">
            <w:r>
              <w:t xml:space="preserve">This amount is calculated by multiplying the grant/contract amount (Column C) by the probability of receipt (Column D).  This is the amount that will be forwarded to the Summary Tab.  </w:t>
            </w:r>
          </w:p>
        </w:tc>
      </w:tr>
    </w:tbl>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762B">
        <w:tc>
          <w:tcPr>
            <w:tcW w:w="9360" w:type="dxa"/>
            <w:tcBorders>
              <w:top w:val="single" w:sz="4" w:space="0" w:color="333333"/>
              <w:left w:val="single" w:sz="4" w:space="0" w:color="333333"/>
              <w:bottom w:val="single" w:sz="4" w:space="0" w:color="333333"/>
              <w:right w:val="single" w:sz="4" w:space="0" w:color="333333"/>
            </w:tcBorders>
            <w:shd w:val="clear" w:color="auto" w:fill="F2F2F2"/>
            <w:tcMar>
              <w:top w:w="120" w:type="dxa"/>
              <w:left w:w="240" w:type="dxa"/>
              <w:bottom w:w="120" w:type="dxa"/>
              <w:right w:w="240" w:type="dxa"/>
            </w:tcMar>
          </w:tcPr>
          <w:p w:rsidR="007C762B" w:rsidRDefault="00975E5C" w:rsidP="00E2123A">
            <w:r>
              <w:rPr>
                <w:b/>
                <w:bCs/>
              </w:rPr>
              <w:t>Restricted vs. Unrestricted Funds</w:t>
            </w:r>
          </w:p>
          <w:p w:rsidR="007C762B" w:rsidRDefault="00975E5C" w:rsidP="00E2123A">
            <w:r>
              <w:t>Restricted funds can only be used for the specific purpose designated by the funder.</w:t>
            </w:r>
          </w:p>
          <w:p w:rsidR="007C762B" w:rsidRDefault="00975E5C" w:rsidP="00E2123A">
            <w:r>
              <w:t>Unrestricted funds give your organization flexibility to cover where the need is greatest.</w:t>
            </w:r>
          </w:p>
          <w:p w:rsidR="007C762B" w:rsidRDefault="00975E5C" w:rsidP="00E2123A">
            <w:r>
              <w:t>Always track restricted grants separately so you can demonstrate compliance to funders and auditors.</w:t>
            </w:r>
          </w:p>
          <w:p w:rsidR="007C762B" w:rsidRDefault="00975E5C" w:rsidP="00E2123A">
            <w:r>
              <w:t>If a restricted grant covers only part of a program’s expenses, the remaining costs must come from unrestricted or other sources.</w:t>
            </w:r>
          </w:p>
        </w:tc>
      </w:tr>
    </w:tbl>
    <w:p w:rsidR="007C762B" w:rsidRDefault="007C762B" w:rsidP="00E2123A"/>
    <w:p w:rsidR="007C762B" w:rsidRDefault="004A0807" w:rsidP="00E2123A">
      <w:r>
        <w:t xml:space="preserve">Remember-while you may receive multi-year grants/contracts for more than one fiscal year, only the amount for the current fiscal year should be budgeted.  </w:t>
      </w:r>
    </w:p>
    <w:p w:rsidR="007C762B" w:rsidRDefault="007C762B" w:rsidP="00E2123A"/>
    <w:p w:rsidR="00E2123A" w:rsidRDefault="00E2123A" w:rsidP="00E2123A"/>
    <w:p w:rsidR="00E2123A" w:rsidRDefault="00E2123A"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8460"/>
      </w:tblGrid>
      <w:tr w:rsidR="007C762B">
        <w:tc>
          <w:tcPr>
            <w:tcW w:w="900" w:type="dxa"/>
            <w:tcBorders>
              <w:top w:val="nil"/>
              <w:left w:val="nil"/>
              <w:bottom w:val="nil"/>
              <w:right w:val="nil"/>
            </w:tcBorders>
            <w:shd w:val="clear" w:color="auto" w:fill="404040"/>
            <w:tcMar>
              <w:top w:w="80" w:type="dxa"/>
              <w:left w:w="120" w:type="dxa"/>
              <w:bottom w:w="80" w:type="dxa"/>
              <w:right w:w="120" w:type="dxa"/>
            </w:tcMar>
            <w:vAlign w:val="center"/>
          </w:tcPr>
          <w:p w:rsidR="007C762B" w:rsidRDefault="00975E5C" w:rsidP="00E2123A">
            <w:pPr>
              <w:jc w:val="center"/>
            </w:pPr>
            <w:r>
              <w:rPr>
                <w:b/>
                <w:bCs/>
                <w:color w:val="FFFFFF"/>
                <w:sz w:val="36"/>
                <w:szCs w:val="36"/>
              </w:rPr>
              <w:t>E</w:t>
            </w:r>
          </w:p>
        </w:tc>
        <w:tc>
          <w:tcPr>
            <w:tcW w:w="8460" w:type="dxa"/>
            <w:tcBorders>
              <w:top w:val="nil"/>
              <w:left w:val="nil"/>
              <w:bottom w:val="nil"/>
              <w:right w:val="nil"/>
            </w:tcBorders>
            <w:shd w:val="clear" w:color="auto" w:fill="404040"/>
            <w:tcMar>
              <w:top w:w="80" w:type="dxa"/>
              <w:left w:w="180" w:type="dxa"/>
              <w:bottom w:w="80" w:type="dxa"/>
              <w:right w:w="120" w:type="dxa"/>
            </w:tcMar>
            <w:vAlign w:val="center"/>
          </w:tcPr>
          <w:p w:rsidR="007C762B" w:rsidRDefault="00975E5C" w:rsidP="00E2123A">
            <w:pPr>
              <w:jc w:val="center"/>
            </w:pPr>
            <w:r>
              <w:rPr>
                <w:b/>
                <w:bCs/>
                <w:color w:val="FFFFFF"/>
                <w:sz w:val="28"/>
                <w:szCs w:val="28"/>
              </w:rPr>
              <w:t>Cash Flow Projections</w:t>
            </w:r>
          </w:p>
        </w:tc>
      </w:tr>
    </w:tbl>
    <w:p w:rsidR="007C762B" w:rsidRDefault="007C762B" w:rsidP="00E2123A"/>
    <w:p w:rsidR="007C762B" w:rsidRDefault="00975E5C" w:rsidP="00E2123A">
      <w:r>
        <w:t>Even a financially healthy organization can run into trouble if cash isn’t available when bills come due. Cash flow projections help you anticipate—and prevent—these situations.</w:t>
      </w:r>
    </w:p>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762B">
        <w:tc>
          <w:tcPr>
            <w:tcW w:w="9360" w:type="dxa"/>
            <w:tcBorders>
              <w:top w:val="single" w:sz="4" w:space="0" w:color="333333"/>
              <w:left w:val="single" w:sz="4" w:space="0" w:color="333333"/>
              <w:bottom w:val="single" w:sz="4" w:space="0" w:color="333333"/>
              <w:right w:val="single" w:sz="4" w:space="0" w:color="333333"/>
            </w:tcBorders>
            <w:shd w:val="clear" w:color="auto" w:fill="F2F2F2"/>
            <w:tcMar>
              <w:top w:w="120" w:type="dxa"/>
              <w:left w:w="240" w:type="dxa"/>
              <w:bottom w:w="120" w:type="dxa"/>
              <w:right w:w="240" w:type="dxa"/>
            </w:tcMar>
          </w:tcPr>
          <w:p w:rsidR="007C762B" w:rsidRDefault="00975E5C" w:rsidP="00E2123A">
            <w:r>
              <w:rPr>
                <w:b/>
                <w:bCs/>
              </w:rPr>
              <w:t>The Cash Flow Formula</w:t>
            </w:r>
          </w:p>
          <w:p w:rsidR="007C762B" w:rsidRDefault="00975E5C" w:rsidP="00E2123A">
            <w:r>
              <w:t>Cash on Hand (Beginning of Month)</w:t>
            </w:r>
          </w:p>
          <w:p w:rsidR="007C762B" w:rsidRDefault="00975E5C" w:rsidP="00E2123A">
            <w:r>
              <w:t>+ Cash Receipts (income received this month)</w:t>
            </w:r>
          </w:p>
          <w:p w:rsidR="007C762B" w:rsidRDefault="00975E5C" w:rsidP="00E2123A">
            <w:r>
              <w:t>− Cash Disbursements (expenses paid this month)</w:t>
            </w:r>
          </w:p>
          <w:p w:rsidR="007C762B" w:rsidRDefault="00975E5C" w:rsidP="00E2123A">
            <w:r>
              <w:t>= Cash on Hand (End of Month)</w:t>
            </w:r>
          </w:p>
        </w:tc>
      </w:tr>
    </w:tbl>
    <w:p w:rsidR="007C762B" w:rsidRDefault="007C762B" w:rsidP="00E2123A"/>
    <w:p w:rsidR="007C762B" w:rsidRDefault="00975E5C" w:rsidP="00E2123A">
      <w:r>
        <w:rPr>
          <w:b/>
          <w:bCs/>
          <w:sz w:val="24"/>
          <w:szCs w:val="24"/>
        </w:rPr>
        <w:lastRenderedPageBreak/>
        <w:t>How to Use the Summary Tab to Create Cash Flow Projections</w:t>
      </w:r>
    </w:p>
    <w:p w:rsidR="007C762B" w:rsidRDefault="00975E5C" w:rsidP="00E2123A">
      <w:r>
        <w:t>After the board approves the budget, you can use the Summary Tab as a basis for your cash flow projections. See the Cash Flow Projections Tab for the full format.</w:t>
      </w:r>
    </w:p>
    <w:p w:rsidR="007C762B" w:rsidRDefault="007C762B" w:rsidP="00E2123A"/>
    <w:p w:rsidR="007C762B" w:rsidRDefault="00975E5C" w:rsidP="00E2123A">
      <w:pPr>
        <w:pStyle w:val="ListParagraph"/>
        <w:numPr>
          <w:ilvl w:val="0"/>
          <w:numId w:val="2"/>
        </w:numPr>
      </w:pPr>
      <w:r>
        <w:t>The numbers in Column F will feed from the approved budget in the Summary Tab.</w:t>
      </w:r>
    </w:p>
    <w:p w:rsidR="007C762B" w:rsidRDefault="00975E5C" w:rsidP="00E2123A">
      <w:pPr>
        <w:pStyle w:val="ListParagraph"/>
        <w:numPr>
          <w:ilvl w:val="0"/>
          <w:numId w:val="2"/>
        </w:numPr>
      </w:pPr>
      <w:r>
        <w:t>In Cell G3, enter the cash balance at the beginning of the fiscal year. This comes from your bank balance less any outstanding checks. For subsequent months, the opening balance is fed from the closing balance of the prior month.</w:t>
      </w:r>
    </w:p>
    <w:p w:rsidR="007C762B" w:rsidRDefault="00975E5C" w:rsidP="00E2123A">
      <w:pPr>
        <w:pStyle w:val="ListParagraph"/>
        <w:numPr>
          <w:ilvl w:val="0"/>
          <w:numId w:val="2"/>
        </w:numPr>
      </w:pPr>
      <w:r>
        <w:t>In the Cash Receipts section, enter projected cash receipts for the month—grant payments, fees, donations received. Be realistic: record when funds will actually land in your bank, not when you expect to earn them. You can use the Income Detail Tab to assist you.</w:t>
      </w:r>
    </w:p>
    <w:p w:rsidR="007C762B" w:rsidRDefault="00975E5C" w:rsidP="00E2123A">
      <w:pPr>
        <w:pStyle w:val="ListParagraph"/>
        <w:numPr>
          <w:ilvl w:val="0"/>
          <w:numId w:val="2"/>
        </w:numPr>
      </w:pPr>
      <w:r>
        <w:t>In the Cash Disbursements section, enter projected cash disbursements—payroll, rent, vendor payments. Most expenses are predictable; flag any large one-time outlays.</w:t>
      </w:r>
    </w:p>
    <w:p w:rsidR="007C762B" w:rsidRDefault="00975E5C" w:rsidP="00E2123A">
      <w:pPr>
        <w:pStyle w:val="ListParagraph"/>
        <w:numPr>
          <w:ilvl w:val="0"/>
          <w:numId w:val="2"/>
        </w:numPr>
      </w:pPr>
      <w:r>
        <w:t>The ending cash balance row calculates automatically. Negative numbers are red flags that require immediate attention.</w:t>
      </w:r>
    </w:p>
    <w:p w:rsidR="007C762B" w:rsidRDefault="007C762B" w:rsidP="00E2123A"/>
    <w:p w:rsidR="007C762B" w:rsidRDefault="00975E5C" w:rsidP="00E2123A">
      <w:r>
        <w:rPr>
          <w:b/>
          <w:bCs/>
          <w:sz w:val="24"/>
          <w:szCs w:val="24"/>
        </w:rPr>
        <w:t>What to Do When the Numbers Turn Red</w:t>
      </w:r>
    </w:p>
    <w:p w:rsidR="007C762B" w:rsidRDefault="00975E5C" w:rsidP="00E2123A">
      <w:r>
        <w:t>If your projected cash balance goes negative in any month, you have several options:</w:t>
      </w:r>
    </w:p>
    <w:p w:rsidR="007C762B" w:rsidRDefault="007C762B" w:rsidP="00E2123A"/>
    <w:p w:rsidR="007C762B" w:rsidRDefault="00975E5C" w:rsidP="00E2123A">
      <w:pPr>
        <w:pStyle w:val="ListParagraph"/>
        <w:numPr>
          <w:ilvl w:val="0"/>
          <w:numId w:val="2"/>
        </w:numPr>
      </w:pPr>
      <w:r>
        <w:t>Request a grant payment advance from a funder who has already committed funds</w:t>
      </w:r>
    </w:p>
    <w:p w:rsidR="007C762B" w:rsidRDefault="00975E5C" w:rsidP="00E2123A">
      <w:pPr>
        <w:pStyle w:val="ListParagraph"/>
        <w:numPr>
          <w:ilvl w:val="0"/>
          <w:numId w:val="2"/>
        </w:numPr>
      </w:pPr>
      <w:r>
        <w:t>Accelerate collection of earned income (fees, event proceeds, etc.)</w:t>
      </w:r>
    </w:p>
    <w:p w:rsidR="007C762B" w:rsidRDefault="00975E5C" w:rsidP="00E2123A">
      <w:pPr>
        <w:pStyle w:val="ListParagraph"/>
        <w:numPr>
          <w:ilvl w:val="0"/>
          <w:numId w:val="2"/>
        </w:numPr>
      </w:pPr>
      <w:r>
        <w:t>Arrange a line of credit from your bank to bridge temporary gaps</w:t>
      </w:r>
    </w:p>
    <w:p w:rsidR="007C762B" w:rsidRDefault="00975E5C" w:rsidP="00E2123A">
      <w:pPr>
        <w:pStyle w:val="ListParagraph"/>
        <w:numPr>
          <w:ilvl w:val="0"/>
          <w:numId w:val="2"/>
        </w:numPr>
      </w:pPr>
      <w:r>
        <w:t>Delay the hiring of planned staff until funding is secured</w:t>
      </w:r>
    </w:p>
    <w:p w:rsidR="007C762B" w:rsidRDefault="00975E5C" w:rsidP="00E2123A">
      <w:pPr>
        <w:pStyle w:val="ListParagraph"/>
        <w:numPr>
          <w:ilvl w:val="0"/>
          <w:numId w:val="2"/>
        </w:numPr>
      </w:pPr>
      <w:r>
        <w:t>Postpone certain non-critical activities to a later month</w:t>
      </w:r>
    </w:p>
    <w:p w:rsidR="007C762B" w:rsidRDefault="007C762B" w:rsidP="00E2123A"/>
    <w:p w:rsidR="007C762B" w:rsidRDefault="00975E5C" w:rsidP="00E2123A">
      <w:r>
        <w:t>Keep the Summary Tab updated throughout the year. It transforms from a planning tool into an early warning system for financial challenges.</w:t>
      </w:r>
    </w:p>
    <w:p w:rsidR="007C762B" w:rsidRDefault="007C762B" w:rsidP="00E2123A"/>
    <w:p w:rsidR="00E2123A" w:rsidRDefault="00E2123A"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8460"/>
      </w:tblGrid>
      <w:tr w:rsidR="007C762B">
        <w:tc>
          <w:tcPr>
            <w:tcW w:w="900" w:type="dxa"/>
            <w:tcBorders>
              <w:top w:val="nil"/>
              <w:left w:val="nil"/>
              <w:bottom w:val="nil"/>
              <w:right w:val="nil"/>
            </w:tcBorders>
            <w:shd w:val="clear" w:color="auto" w:fill="404040"/>
            <w:tcMar>
              <w:top w:w="80" w:type="dxa"/>
              <w:left w:w="120" w:type="dxa"/>
              <w:bottom w:w="80" w:type="dxa"/>
              <w:right w:w="120" w:type="dxa"/>
            </w:tcMar>
            <w:vAlign w:val="center"/>
          </w:tcPr>
          <w:p w:rsidR="007C762B" w:rsidRDefault="00975E5C" w:rsidP="00E2123A">
            <w:pPr>
              <w:jc w:val="center"/>
            </w:pPr>
            <w:r>
              <w:rPr>
                <w:b/>
                <w:bCs/>
                <w:color w:val="FFFFFF"/>
                <w:sz w:val="36"/>
                <w:szCs w:val="36"/>
              </w:rPr>
              <w:t>F</w:t>
            </w:r>
          </w:p>
        </w:tc>
        <w:tc>
          <w:tcPr>
            <w:tcW w:w="8460" w:type="dxa"/>
            <w:tcBorders>
              <w:top w:val="nil"/>
              <w:left w:val="nil"/>
              <w:bottom w:val="nil"/>
              <w:right w:val="nil"/>
            </w:tcBorders>
            <w:shd w:val="clear" w:color="auto" w:fill="404040"/>
            <w:tcMar>
              <w:top w:w="80" w:type="dxa"/>
              <w:left w:w="180" w:type="dxa"/>
              <w:bottom w:w="80" w:type="dxa"/>
              <w:right w:w="120" w:type="dxa"/>
            </w:tcMar>
            <w:vAlign w:val="center"/>
          </w:tcPr>
          <w:p w:rsidR="007C762B" w:rsidRDefault="00975E5C" w:rsidP="00E2123A">
            <w:r>
              <w:rPr>
                <w:b/>
                <w:bCs/>
                <w:color w:val="FFFFFF"/>
                <w:sz w:val="28"/>
                <w:szCs w:val="28"/>
              </w:rPr>
              <w:t>Cost Reduction</w:t>
            </w:r>
          </w:p>
        </w:tc>
      </w:tr>
    </w:tbl>
    <w:p w:rsidR="007C762B" w:rsidRDefault="007C762B" w:rsidP="00E2123A"/>
    <w:p w:rsidR="007C762B" w:rsidRDefault="00975E5C" w:rsidP="00E2123A">
      <w:r>
        <w:t>Before submitting a budget to external funders, review each line item with a critical eye. Ask yourself:</w:t>
      </w:r>
    </w:p>
    <w:p w:rsidR="007C762B" w:rsidRDefault="007C762B" w:rsidP="00E2123A"/>
    <w:p w:rsidR="007C762B" w:rsidRDefault="00975E5C" w:rsidP="00E2123A">
      <w:pPr>
        <w:pStyle w:val="ListParagraph"/>
        <w:numPr>
          <w:ilvl w:val="0"/>
          <w:numId w:val="2"/>
        </w:numPr>
      </w:pPr>
      <w:r>
        <w:t>Is there a less expensive way to carry out this activity?</w:t>
      </w:r>
    </w:p>
    <w:p w:rsidR="007C762B" w:rsidRDefault="00975E5C" w:rsidP="00E2123A">
      <w:pPr>
        <w:pStyle w:val="ListParagraph"/>
        <w:numPr>
          <w:ilvl w:val="0"/>
          <w:numId w:val="2"/>
        </w:numPr>
      </w:pPr>
      <w:r>
        <w:t>Can volunteers be substituted for paid staff in any area?</w:t>
      </w:r>
    </w:p>
    <w:p w:rsidR="007C762B" w:rsidRDefault="00975E5C" w:rsidP="00E2123A">
      <w:pPr>
        <w:pStyle w:val="ListParagraph"/>
        <w:numPr>
          <w:ilvl w:val="0"/>
          <w:numId w:val="2"/>
        </w:numPr>
      </w:pPr>
      <w:r>
        <w:t>Are all listed expenses genuinely necessary to achieve your objectives?</w:t>
      </w:r>
    </w:p>
    <w:p w:rsidR="00A57777" w:rsidRDefault="00A57777">
      <w:r>
        <w:br w:type="page"/>
      </w:r>
    </w:p>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762B">
        <w:tc>
          <w:tcPr>
            <w:tcW w:w="9360" w:type="dxa"/>
            <w:tcBorders>
              <w:top w:val="nil"/>
              <w:left w:val="nil"/>
              <w:bottom w:val="nil"/>
              <w:right w:val="nil"/>
            </w:tcBorders>
            <w:shd w:val="clear" w:color="auto" w:fill="404040"/>
            <w:tcMar>
              <w:top w:w="80" w:type="dxa"/>
              <w:left w:w="180" w:type="dxa"/>
              <w:bottom w:w="80" w:type="dxa"/>
              <w:right w:w="120" w:type="dxa"/>
            </w:tcMar>
          </w:tcPr>
          <w:p w:rsidR="007C762B" w:rsidRDefault="00975E5C" w:rsidP="00E2123A">
            <w:r>
              <w:rPr>
                <w:b/>
                <w:bCs/>
                <w:color w:val="FFFFFF"/>
              </w:rPr>
              <w:t>Cost Reduction Strategies</w:t>
            </w:r>
          </w:p>
        </w:tc>
      </w:tr>
      <w:tr w:rsidR="007C762B">
        <w:tc>
          <w:tcPr>
            <w:tcW w:w="9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80" w:type="dxa"/>
              <w:bottom w:w="80" w:type="dxa"/>
              <w:right w:w="120" w:type="dxa"/>
            </w:tcMar>
          </w:tcPr>
          <w:p w:rsidR="007C762B" w:rsidRDefault="00975E5C" w:rsidP="00E2123A">
            <w:r>
              <w:rPr>
                <w:b/>
                <w:bCs/>
              </w:rPr>
              <w:t>Shared services</w:t>
            </w:r>
            <w:r>
              <w:t>: Partner with other nonprofits to share office space, IT support, or a bookkeeper.</w:t>
            </w:r>
          </w:p>
        </w:tc>
      </w:tr>
      <w:tr w:rsidR="007C762B">
        <w:tc>
          <w:tcPr>
            <w:tcW w:w="936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80" w:type="dxa"/>
              <w:bottom w:w="80" w:type="dxa"/>
              <w:right w:w="120" w:type="dxa"/>
            </w:tcMar>
          </w:tcPr>
          <w:p w:rsidR="007C762B" w:rsidRDefault="00975E5C" w:rsidP="00E2123A">
            <w:r>
              <w:rPr>
                <w:b/>
                <w:bCs/>
              </w:rPr>
              <w:t>In-kind donations</w:t>
            </w:r>
            <w:r>
              <w:t>: Actively solicit donated goods and services before assuming cash expenses.</w:t>
            </w:r>
          </w:p>
        </w:tc>
      </w:tr>
      <w:tr w:rsidR="007C762B">
        <w:tc>
          <w:tcPr>
            <w:tcW w:w="9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80" w:type="dxa"/>
              <w:bottom w:w="80" w:type="dxa"/>
              <w:right w:w="120" w:type="dxa"/>
            </w:tcMar>
          </w:tcPr>
          <w:p w:rsidR="007C762B" w:rsidRDefault="00975E5C" w:rsidP="00E2123A">
            <w:r>
              <w:rPr>
                <w:b/>
                <w:bCs/>
              </w:rPr>
              <w:t>Competitive bids</w:t>
            </w:r>
            <w:r>
              <w:t>: For consulting and vendor contracts, always get multiple quotes.</w:t>
            </w:r>
          </w:p>
        </w:tc>
      </w:tr>
      <w:tr w:rsidR="007C762B">
        <w:tc>
          <w:tcPr>
            <w:tcW w:w="936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80" w:type="dxa"/>
              <w:bottom w:w="80" w:type="dxa"/>
              <w:right w:w="120" w:type="dxa"/>
            </w:tcMar>
          </w:tcPr>
          <w:p w:rsidR="007C762B" w:rsidRDefault="00975E5C" w:rsidP="00E2123A">
            <w:r>
              <w:rPr>
                <w:b/>
                <w:bCs/>
              </w:rPr>
              <w:t>Phased hiring</w:t>
            </w:r>
            <w:r>
              <w:t>: Start with part-time staff and expand hours as revenue materializes.</w:t>
            </w:r>
          </w:p>
        </w:tc>
      </w:tr>
      <w:tr w:rsidR="007C762B">
        <w:tc>
          <w:tcPr>
            <w:tcW w:w="9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80" w:type="dxa"/>
              <w:bottom w:w="80" w:type="dxa"/>
              <w:right w:w="120" w:type="dxa"/>
            </w:tcMar>
          </w:tcPr>
          <w:p w:rsidR="007C762B" w:rsidRDefault="00975E5C" w:rsidP="00E2123A">
            <w:r>
              <w:rPr>
                <w:b/>
                <w:bCs/>
              </w:rPr>
              <w:t>Technology</w:t>
            </w:r>
            <w:r>
              <w:t>: Many software tools are free or deeply discounted for nonprofits. Check out TechSoup for deep discounts on QuickBooks, Microsoft, Google, Canva, and more.</w:t>
            </w:r>
          </w:p>
        </w:tc>
      </w:tr>
    </w:tbl>
    <w:p w:rsidR="007C762B" w:rsidRDefault="007C762B" w:rsidP="00E2123A"/>
    <w:p w:rsidR="00E2123A" w:rsidRDefault="00E2123A" w:rsidP="00E2123A"/>
    <w:p w:rsidR="00E2123A" w:rsidRDefault="00E2123A"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8460"/>
      </w:tblGrid>
      <w:tr w:rsidR="007C762B">
        <w:tc>
          <w:tcPr>
            <w:tcW w:w="900" w:type="dxa"/>
            <w:tcBorders>
              <w:top w:val="nil"/>
              <w:left w:val="nil"/>
              <w:bottom w:val="nil"/>
              <w:right w:val="nil"/>
            </w:tcBorders>
            <w:shd w:val="clear" w:color="auto" w:fill="404040"/>
            <w:tcMar>
              <w:top w:w="80" w:type="dxa"/>
              <w:left w:w="120" w:type="dxa"/>
              <w:bottom w:w="80" w:type="dxa"/>
              <w:right w:w="120" w:type="dxa"/>
            </w:tcMar>
            <w:vAlign w:val="center"/>
          </w:tcPr>
          <w:p w:rsidR="007C762B" w:rsidRDefault="00975E5C" w:rsidP="00E2123A">
            <w:pPr>
              <w:jc w:val="center"/>
            </w:pPr>
            <w:r>
              <w:rPr>
                <w:b/>
                <w:bCs/>
                <w:color w:val="FFFFFF"/>
                <w:sz w:val="36"/>
                <w:szCs w:val="36"/>
              </w:rPr>
              <w:t>G</w:t>
            </w:r>
          </w:p>
        </w:tc>
        <w:tc>
          <w:tcPr>
            <w:tcW w:w="8460" w:type="dxa"/>
            <w:tcBorders>
              <w:top w:val="nil"/>
              <w:left w:val="nil"/>
              <w:bottom w:val="nil"/>
              <w:right w:val="nil"/>
            </w:tcBorders>
            <w:shd w:val="clear" w:color="auto" w:fill="404040"/>
            <w:tcMar>
              <w:top w:w="80" w:type="dxa"/>
              <w:left w:w="180" w:type="dxa"/>
              <w:bottom w:w="80" w:type="dxa"/>
              <w:right w:w="120" w:type="dxa"/>
            </w:tcMar>
            <w:vAlign w:val="center"/>
          </w:tcPr>
          <w:p w:rsidR="007C762B" w:rsidRDefault="00975E5C" w:rsidP="00E2123A">
            <w:r>
              <w:rPr>
                <w:b/>
                <w:bCs/>
                <w:color w:val="FFFFFF"/>
                <w:sz w:val="28"/>
                <w:szCs w:val="28"/>
              </w:rPr>
              <w:t>Budgetary Controls: Monthly Financial Reports</w:t>
            </w:r>
          </w:p>
        </w:tc>
      </w:tr>
    </w:tbl>
    <w:p w:rsidR="007C762B" w:rsidRDefault="007C762B" w:rsidP="00E2123A"/>
    <w:p w:rsidR="007C762B" w:rsidRDefault="00975E5C" w:rsidP="00E2123A">
      <w:r>
        <w:t>Developing a realistic budget is only half the job. The other half is monitoring it regularly and adjusting as circumstances change.</w:t>
      </w:r>
    </w:p>
    <w:p w:rsidR="007C762B" w:rsidRDefault="007C762B" w:rsidP="00E2123A"/>
    <w:p w:rsidR="007C762B" w:rsidRDefault="00975E5C" w:rsidP="00E2123A">
      <w:r>
        <w:t>Even if you are not personally responsible for maintaining financial records, insist on receiving monthly reports showing:</w:t>
      </w:r>
    </w:p>
    <w:p w:rsidR="007C762B" w:rsidRDefault="007C762B" w:rsidP="00E2123A"/>
    <w:p w:rsidR="007C762B" w:rsidRDefault="00975E5C" w:rsidP="00E2123A">
      <w:pPr>
        <w:pStyle w:val="ListParagraph"/>
        <w:numPr>
          <w:ilvl w:val="0"/>
          <w:numId w:val="2"/>
        </w:numPr>
      </w:pPr>
      <w:r>
        <w:t>Income received vs. budgeted</w:t>
      </w:r>
    </w:p>
    <w:p w:rsidR="007C762B" w:rsidRDefault="00975E5C" w:rsidP="00E2123A">
      <w:pPr>
        <w:pStyle w:val="ListParagraph"/>
        <w:numPr>
          <w:ilvl w:val="0"/>
          <w:numId w:val="2"/>
        </w:numPr>
      </w:pPr>
      <w:r>
        <w:t>Expenses incurred vs. budgeted</w:t>
      </w:r>
    </w:p>
    <w:p w:rsidR="007C762B" w:rsidRDefault="00975E5C" w:rsidP="00E2123A">
      <w:pPr>
        <w:pStyle w:val="ListParagraph"/>
        <w:numPr>
          <w:ilvl w:val="0"/>
          <w:numId w:val="2"/>
        </w:numPr>
      </w:pPr>
      <w:r>
        <w:t>Budget and cash balances</w:t>
      </w:r>
    </w:p>
    <w:p w:rsidR="007C762B" w:rsidRDefault="00975E5C" w:rsidP="00E2123A">
      <w:pPr>
        <w:pStyle w:val="ListParagraph"/>
        <w:numPr>
          <w:ilvl w:val="0"/>
          <w:numId w:val="2"/>
        </w:numPr>
      </w:pPr>
      <w:r>
        <w:t>Variance (the difference between budget and actual)</w:t>
      </w:r>
    </w:p>
    <w:p w:rsidR="007C762B" w:rsidRDefault="007C762B" w:rsidP="00E2123A"/>
    <w:p w:rsidR="007C762B" w:rsidRDefault="00975E5C" w:rsidP="00E2123A">
      <w:r>
        <w:t>This information must be analyzed in conjunction with your work plans. You might be on track financially but behind on activities—or ahead on activities but over budget. Both scenarios require attention.</w:t>
      </w:r>
    </w:p>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762B">
        <w:tc>
          <w:tcPr>
            <w:tcW w:w="9360" w:type="dxa"/>
            <w:tcBorders>
              <w:top w:val="nil"/>
              <w:left w:val="nil"/>
              <w:bottom w:val="nil"/>
              <w:right w:val="nil"/>
            </w:tcBorders>
            <w:shd w:val="clear" w:color="auto" w:fill="EBEBEB"/>
            <w:tcMar>
              <w:top w:w="100" w:type="dxa"/>
              <w:left w:w="200" w:type="dxa"/>
              <w:bottom w:w="40" w:type="dxa"/>
              <w:right w:w="120" w:type="dxa"/>
            </w:tcMar>
          </w:tcPr>
          <w:p w:rsidR="007C762B" w:rsidRDefault="00975E5C" w:rsidP="00E2123A">
            <w:r>
              <w:rPr>
                <w:b/>
                <w:bCs/>
              </w:rPr>
              <w:t>Who Gets Monthly Reports?</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Executive Director / Project Director</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Chief Financial Officer or Bookkeeper</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Department Heads and Program Managers responsible for program budgets</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Board Treasurer (at minimum quarterly; monthly is better practice)</w:t>
            </w:r>
          </w:p>
        </w:tc>
      </w:tr>
      <w:tr w:rsidR="007C762B">
        <w:tc>
          <w:tcPr>
            <w:tcW w:w="9360" w:type="dxa"/>
            <w:tcBorders>
              <w:top w:val="nil"/>
              <w:left w:val="nil"/>
              <w:bottom w:val="nil"/>
              <w:right w:val="nil"/>
            </w:tcBorders>
            <w:shd w:val="clear" w:color="auto" w:fill="EBEBEB"/>
            <w:tcMar>
              <w:top w:w="60" w:type="dxa"/>
              <w:left w:w="200" w:type="dxa"/>
              <w:bottom w:w="0" w:type="dxa"/>
              <w:right w:w="120" w:type="dxa"/>
            </w:tcMar>
          </w:tcPr>
          <w:p w:rsidR="007C762B" w:rsidRDefault="007C762B" w:rsidP="00E2123A"/>
        </w:tc>
      </w:tr>
    </w:tbl>
    <w:p w:rsidR="007C762B" w:rsidRDefault="007C762B" w:rsidP="00E2123A"/>
    <w:p w:rsidR="007C762B" w:rsidRDefault="00975E5C" w:rsidP="00E2123A">
      <w:r>
        <w:rPr>
          <w:b/>
          <w:bCs/>
          <w:sz w:val="24"/>
          <w:szCs w:val="24"/>
        </w:rPr>
        <w:t>Responding to Variances</w:t>
      </w:r>
    </w:p>
    <w:p w:rsidR="007C762B" w:rsidRDefault="00975E5C" w:rsidP="00E2123A">
      <w:r>
        <w:t>A variance simply means actual spending differs from what was budgeted. Not all variances are problems—but all deserve investigation: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7C762B">
        <w:tc>
          <w:tcPr>
            <w:tcW w:w="3000" w:type="dxa"/>
            <w:tcBorders>
              <w:top w:val="single" w:sz="4" w:space="0" w:color="666666"/>
              <w:left w:val="single" w:sz="4" w:space="0" w:color="666666"/>
              <w:bottom w:val="single" w:sz="4" w:space="0" w:color="666666"/>
              <w:right w:val="single" w:sz="4" w:space="0" w:color="666666"/>
            </w:tcBorders>
            <w:shd w:val="clear" w:color="auto" w:fill="404040"/>
            <w:tcMar>
              <w:top w:w="80" w:type="dxa"/>
              <w:left w:w="120" w:type="dxa"/>
              <w:bottom w:w="80" w:type="dxa"/>
              <w:right w:w="120" w:type="dxa"/>
            </w:tcMar>
          </w:tcPr>
          <w:p w:rsidR="007C762B" w:rsidRDefault="00975E5C" w:rsidP="00E2123A">
            <w:bookmarkStart w:id="0" w:name="_GoBack"/>
            <w:bookmarkEnd w:id="0"/>
            <w:r>
              <w:rPr>
                <w:b/>
                <w:bCs/>
                <w:color w:val="FFFFFF"/>
              </w:rPr>
              <w:lastRenderedPageBreak/>
              <w:t>Variance Type</w:t>
            </w:r>
          </w:p>
        </w:tc>
        <w:tc>
          <w:tcPr>
            <w:tcW w:w="6360" w:type="dxa"/>
            <w:tcBorders>
              <w:top w:val="single" w:sz="4" w:space="0" w:color="666666"/>
              <w:left w:val="single" w:sz="4" w:space="0" w:color="666666"/>
              <w:bottom w:val="single" w:sz="4" w:space="0" w:color="666666"/>
              <w:right w:val="single" w:sz="4" w:space="0" w:color="666666"/>
            </w:tcBorders>
            <w:shd w:val="clear" w:color="auto" w:fill="404040"/>
            <w:tcMar>
              <w:top w:w="80" w:type="dxa"/>
              <w:left w:w="120" w:type="dxa"/>
              <w:bottom w:w="80" w:type="dxa"/>
              <w:right w:w="120" w:type="dxa"/>
            </w:tcMar>
          </w:tcPr>
          <w:p w:rsidR="007C762B" w:rsidRDefault="00975E5C" w:rsidP="00E2123A">
            <w:pPr>
              <w:jc w:val="center"/>
            </w:pPr>
            <w:r>
              <w:rPr>
                <w:b/>
                <w:bCs/>
                <w:color w:val="FFFFFF"/>
              </w:rPr>
              <w:t>Recommended Action</w:t>
            </w:r>
          </w:p>
        </w:tc>
      </w:tr>
      <w:tr w:rsidR="007C762B">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Over budget on a line item</w:t>
            </w:r>
          </w:p>
        </w:tc>
        <w:tc>
          <w:tcPr>
            <w:tcW w:w="6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Determine if it’s a one-time occurrence or a trend. Can you reduce spending elsewhere to compensate?</w:t>
            </w:r>
          </w:p>
        </w:tc>
      </w:tr>
      <w:tr w:rsidR="007C762B">
        <w:tc>
          <w:tcPr>
            <w:tcW w:w="300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Under budget on a line item</w:t>
            </w:r>
          </w:p>
        </w:tc>
        <w:tc>
          <w:tcPr>
            <w:tcW w:w="636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Is the activity delayed, or did you simply budget too much? Unspent program funds may need to be returned to a restricted funder.</w:t>
            </w:r>
          </w:p>
        </w:tc>
      </w:tr>
      <w:tr w:rsidR="007C762B">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Revenue shortfall</w:t>
            </w:r>
          </w:p>
        </w:tc>
        <w:tc>
          <w:tcPr>
            <w:tcW w:w="6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Prioritize. Which expenses are absolutely necessary? Which can be deferred until funding arrives?</w:t>
            </w:r>
          </w:p>
        </w:tc>
      </w:tr>
      <w:tr w:rsidR="007C762B">
        <w:tc>
          <w:tcPr>
            <w:tcW w:w="300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Revenue surplus</w:t>
            </w:r>
          </w:p>
        </w:tc>
        <w:tc>
          <w:tcPr>
            <w:tcW w:w="636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Confirm with your funders whether surplus restricted funds must be returned or can be carried forward.</w:t>
            </w:r>
          </w:p>
        </w:tc>
      </w:tr>
    </w:tbl>
    <w:p w:rsidR="007C762B" w:rsidRDefault="007C762B" w:rsidP="00E2123A"/>
    <w:p w:rsidR="007C762B" w:rsidRDefault="00975E5C" w:rsidP="00E2123A">
      <w:r>
        <w:t>Use the Summary Tab of the Budget Worksheet spreadsheet to prepare monthly budget reports. The format can vary—what matters is that accurate, timely information reaches the people responsible for making decisions.</w:t>
      </w:r>
    </w:p>
    <w:p w:rsidR="007C762B" w:rsidRDefault="007C762B" w:rsidP="00E2123A"/>
    <w:p w:rsidR="00E2123A" w:rsidRDefault="00E2123A" w:rsidP="00E2123A"/>
    <w:p w:rsidR="00E2123A" w:rsidRDefault="00E2123A"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8460"/>
      </w:tblGrid>
      <w:tr w:rsidR="007C762B">
        <w:tc>
          <w:tcPr>
            <w:tcW w:w="900" w:type="dxa"/>
            <w:tcBorders>
              <w:top w:val="nil"/>
              <w:left w:val="nil"/>
              <w:bottom w:val="nil"/>
              <w:right w:val="nil"/>
            </w:tcBorders>
            <w:shd w:val="clear" w:color="auto" w:fill="404040"/>
            <w:tcMar>
              <w:top w:w="80" w:type="dxa"/>
              <w:left w:w="120" w:type="dxa"/>
              <w:bottom w:w="80" w:type="dxa"/>
              <w:right w:w="120" w:type="dxa"/>
            </w:tcMar>
            <w:vAlign w:val="center"/>
          </w:tcPr>
          <w:p w:rsidR="007C762B" w:rsidRDefault="00E2123A" w:rsidP="00E2123A">
            <w:pPr>
              <w:jc w:val="center"/>
            </w:pPr>
            <w:r>
              <w:rPr>
                <w:b/>
                <w:bCs/>
                <w:color w:val="FFFFFF"/>
                <w:sz w:val="36"/>
                <w:szCs w:val="36"/>
              </w:rPr>
              <w:t>H</w:t>
            </w:r>
          </w:p>
        </w:tc>
        <w:tc>
          <w:tcPr>
            <w:tcW w:w="8460" w:type="dxa"/>
            <w:tcBorders>
              <w:top w:val="nil"/>
              <w:left w:val="nil"/>
              <w:bottom w:val="nil"/>
              <w:right w:val="nil"/>
            </w:tcBorders>
            <w:shd w:val="clear" w:color="auto" w:fill="404040"/>
            <w:tcMar>
              <w:top w:w="80" w:type="dxa"/>
              <w:left w:w="180" w:type="dxa"/>
              <w:bottom w:w="80" w:type="dxa"/>
              <w:right w:w="120" w:type="dxa"/>
            </w:tcMar>
            <w:vAlign w:val="center"/>
          </w:tcPr>
          <w:p w:rsidR="007C762B" w:rsidRDefault="00975E5C" w:rsidP="00E2123A">
            <w:r>
              <w:rPr>
                <w:b/>
                <w:bCs/>
                <w:color w:val="FFFFFF"/>
                <w:sz w:val="28"/>
                <w:szCs w:val="28"/>
              </w:rPr>
              <w:t>Budget Worksheet Spreadsheet – Tab Reference Guide</w:t>
            </w:r>
          </w:p>
        </w:tc>
      </w:tr>
    </w:tbl>
    <w:p w:rsidR="007C762B" w:rsidRDefault="007C762B" w:rsidP="00E2123A"/>
    <w:p w:rsidR="007C762B" w:rsidRDefault="00975E5C" w:rsidP="00E2123A">
      <w:r>
        <w:t>The accompanying Budget Worksheet spreadsheet contains all worksheets in digital form. Begin data entry with the Salaries Tab, which feeds into the Summary Tab automatically.</w:t>
      </w:r>
    </w:p>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7C762B">
        <w:tc>
          <w:tcPr>
            <w:tcW w:w="4680" w:type="dxa"/>
            <w:tcBorders>
              <w:top w:val="single" w:sz="4" w:space="0" w:color="666666"/>
              <w:left w:val="single" w:sz="4" w:space="0" w:color="666666"/>
              <w:bottom w:val="single" w:sz="4" w:space="0" w:color="666666"/>
              <w:right w:val="single" w:sz="4" w:space="0" w:color="666666"/>
            </w:tcBorders>
            <w:shd w:val="clear" w:color="auto" w:fill="404040"/>
            <w:tcMar>
              <w:top w:w="80" w:type="dxa"/>
              <w:left w:w="120" w:type="dxa"/>
              <w:bottom w:w="80" w:type="dxa"/>
              <w:right w:w="120" w:type="dxa"/>
            </w:tcMar>
          </w:tcPr>
          <w:p w:rsidR="007C762B" w:rsidRDefault="00975E5C" w:rsidP="00E2123A">
            <w:r>
              <w:rPr>
                <w:b/>
                <w:bCs/>
                <w:color w:val="FFFFFF"/>
              </w:rPr>
              <w:t>Tab Name</w:t>
            </w:r>
          </w:p>
        </w:tc>
        <w:tc>
          <w:tcPr>
            <w:tcW w:w="4680" w:type="dxa"/>
            <w:tcBorders>
              <w:top w:val="single" w:sz="4" w:space="0" w:color="666666"/>
              <w:left w:val="single" w:sz="4" w:space="0" w:color="666666"/>
              <w:bottom w:val="single" w:sz="4" w:space="0" w:color="666666"/>
              <w:right w:val="single" w:sz="4" w:space="0" w:color="666666"/>
            </w:tcBorders>
            <w:shd w:val="clear" w:color="auto" w:fill="404040"/>
            <w:tcMar>
              <w:top w:w="80" w:type="dxa"/>
              <w:left w:w="120" w:type="dxa"/>
              <w:bottom w:w="80" w:type="dxa"/>
              <w:right w:w="120" w:type="dxa"/>
            </w:tcMar>
          </w:tcPr>
          <w:p w:rsidR="007C762B" w:rsidRDefault="00975E5C" w:rsidP="00E2123A">
            <w:r>
              <w:rPr>
                <w:b/>
                <w:bCs/>
                <w:color w:val="FFFFFF"/>
              </w:rPr>
              <w:t>Purpose</w:t>
            </w:r>
          </w:p>
        </w:tc>
      </w:tr>
      <w:tr w:rsidR="007C762B">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Salaries</w:t>
            </w:r>
          </w:p>
        </w:tc>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List all staff positions—current and planned. Allocate salaries across programs and departments by percentage of time. Totals feed automatically into the Summary Tab.</w:t>
            </w:r>
          </w:p>
        </w:tc>
      </w:tr>
      <w:tr w:rsidR="007C762B">
        <w:tc>
          <w:tcPr>
            <w:tcW w:w="468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FB (Fringe Benefits)</w:t>
            </w:r>
          </w:p>
        </w:tc>
        <w:tc>
          <w:tcPr>
            <w:tcW w:w="468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Enter detailed fringe benefit data per staff person. The Tab calculates the agency fringe benefit rate, which is then applied to calculate fringe costs by department.</w:t>
            </w:r>
          </w:p>
        </w:tc>
      </w:tr>
      <w:tr w:rsidR="007C762B">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Income Detail</w:t>
            </w:r>
          </w:p>
        </w:tc>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Track all revenue sources with grant probability discounting. Use this Tab during the year to track grants and contracts and projected dates when funds are expected. Totals flow to the Summary Tab.</w:t>
            </w:r>
          </w:p>
        </w:tc>
      </w:tr>
      <w:tr w:rsidR="007C762B">
        <w:tc>
          <w:tcPr>
            <w:tcW w:w="468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lastRenderedPageBreak/>
              <w:t>Program 1, 2, 3 (or more)</w:t>
            </w:r>
          </w:p>
        </w:tc>
        <w:tc>
          <w:tcPr>
            <w:tcW w:w="468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Build detailed budgets for each program area. Map expenses to specific funding sources (Grant 1, 2, 3, Unrestricted) for each program.</w:t>
            </w:r>
          </w:p>
        </w:tc>
      </w:tr>
      <w:tr w:rsidR="007C762B">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Summary</w:t>
            </w:r>
          </w:p>
        </w:tc>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7C762B" w:rsidRDefault="00975E5C" w:rsidP="00E2123A">
            <w:r>
              <w:t>Consolidates all income and expense data for a complete organizational budget view.</w:t>
            </w:r>
          </w:p>
        </w:tc>
      </w:tr>
      <w:tr w:rsidR="007C762B">
        <w:tc>
          <w:tcPr>
            <w:tcW w:w="468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Cash Flow</w:t>
            </w:r>
          </w:p>
        </w:tc>
        <w:tc>
          <w:tcPr>
            <w:tcW w:w="468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tcPr>
          <w:p w:rsidR="007C762B" w:rsidRDefault="00975E5C" w:rsidP="00E2123A">
            <w:r>
              <w:t>Monthly cash flow projection format. Column F feeds from the approved budget in the Summary Tab.</w:t>
            </w:r>
          </w:p>
        </w:tc>
      </w:tr>
    </w:tbl>
    <w:p w:rsidR="007C762B" w:rsidRDefault="007C762B" w:rsidP="00E2123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762B">
        <w:tc>
          <w:tcPr>
            <w:tcW w:w="9360" w:type="dxa"/>
            <w:tcBorders>
              <w:top w:val="nil"/>
              <w:left w:val="nil"/>
              <w:bottom w:val="nil"/>
              <w:right w:val="nil"/>
            </w:tcBorders>
            <w:shd w:val="clear" w:color="auto" w:fill="EBEBEB"/>
            <w:tcMar>
              <w:top w:w="100" w:type="dxa"/>
              <w:left w:w="200" w:type="dxa"/>
              <w:bottom w:w="40" w:type="dxa"/>
              <w:right w:w="120" w:type="dxa"/>
            </w:tcMar>
          </w:tcPr>
          <w:p w:rsidR="007C762B" w:rsidRDefault="00975E5C" w:rsidP="00E2123A">
            <w:r>
              <w:rPr>
                <w:b/>
                <w:bCs/>
              </w:rPr>
              <w:t>Using the Budget Worksheet Spreadsheet</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Begin with the Salaries Tab—it feeds calculations into the Summary Tab automatically.</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Calculate fringe benefits in the FB Tab. That Tab calculates an agency fringe benefit rate, which is applied across all departments in the Summary Tab.</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Use the Income Detail Tab to track grant probabilities and apply discount factors to projections.</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Build detailed budgets for each program area in the Program 1, 2, and 3 Tabs.</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The Summary Tab consolidates everything for a complete organizational budget view.</w:t>
            </w:r>
          </w:p>
        </w:tc>
      </w:tr>
      <w:tr w:rsidR="007C762B">
        <w:tc>
          <w:tcPr>
            <w:tcW w:w="9360" w:type="dxa"/>
            <w:tcBorders>
              <w:top w:val="nil"/>
              <w:left w:val="nil"/>
              <w:bottom w:val="nil"/>
              <w:right w:val="nil"/>
            </w:tcBorders>
            <w:shd w:val="clear" w:color="auto" w:fill="EBEBEB"/>
            <w:tcMar>
              <w:top w:w="20" w:type="dxa"/>
              <w:left w:w="320" w:type="dxa"/>
              <w:bottom w:w="20" w:type="dxa"/>
              <w:right w:w="120" w:type="dxa"/>
            </w:tcMar>
          </w:tcPr>
          <w:p w:rsidR="007C762B" w:rsidRDefault="00975E5C" w:rsidP="00E2123A">
            <w:r>
              <w:t>• Use the Cash Flow Tab for monthly cash flow projections once the budget is approved.</w:t>
            </w:r>
          </w:p>
        </w:tc>
      </w:tr>
      <w:tr w:rsidR="007C762B">
        <w:tc>
          <w:tcPr>
            <w:tcW w:w="9360" w:type="dxa"/>
            <w:tcBorders>
              <w:top w:val="nil"/>
              <w:left w:val="nil"/>
              <w:bottom w:val="nil"/>
              <w:right w:val="nil"/>
            </w:tcBorders>
            <w:shd w:val="clear" w:color="auto" w:fill="EBEBEB"/>
            <w:tcMar>
              <w:top w:w="60" w:type="dxa"/>
              <w:left w:w="200" w:type="dxa"/>
              <w:bottom w:w="0" w:type="dxa"/>
              <w:right w:w="120" w:type="dxa"/>
            </w:tcMar>
          </w:tcPr>
          <w:p w:rsidR="007C762B" w:rsidRDefault="007C762B"/>
        </w:tc>
      </w:tr>
    </w:tbl>
    <w:p w:rsidR="007C762B" w:rsidRDefault="007C762B">
      <w:pPr>
        <w:spacing w:before="120"/>
      </w:pPr>
    </w:p>
    <w:sectPr w:rsidR="007C762B">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470" w:rsidRDefault="00E93470">
      <w:r>
        <w:separator/>
      </w:r>
    </w:p>
  </w:endnote>
  <w:endnote w:type="continuationSeparator" w:id="0">
    <w:p w:rsidR="00E93470" w:rsidRDefault="00E93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62B" w:rsidRDefault="00975E5C">
    <w:pPr>
      <w:pBdr>
        <w:top w:val="single" w:sz="6" w:space="4" w:color="333333"/>
      </w:pBdr>
      <w:tabs>
        <w:tab w:val="right" w:pos="9360"/>
      </w:tabs>
      <w:spacing w:before="80"/>
    </w:pPr>
    <w:r>
      <w:rPr>
        <w:color w:val="666666"/>
        <w:sz w:val="16"/>
        <w:szCs w:val="16"/>
      </w:rPr>
      <w:t>MDI Consulting  •  mdiconsult.com  •  info@mdiconsult.com</w:t>
    </w:r>
    <w:r>
      <w:rPr>
        <w:color w:val="666666"/>
        <w:sz w:val="16"/>
        <w:szCs w:val="16"/>
      </w:rPr>
      <w:tab/>
      <w:t xml:space="preserve">Page </w:t>
    </w:r>
    <w:r>
      <w:rPr>
        <w:color w:val="333333"/>
        <w:sz w:val="16"/>
        <w:szCs w:val="16"/>
      </w:rPr>
      <w:fldChar w:fldCharType="begin"/>
    </w:r>
    <w:r>
      <w:rPr>
        <w:color w:val="333333"/>
        <w:sz w:val="16"/>
        <w:szCs w:val="16"/>
      </w:rPr>
      <w:instrText>PAGE</w:instrText>
    </w:r>
    <w:r>
      <w:rPr>
        <w:color w:val="333333"/>
        <w:sz w:val="16"/>
        <w:szCs w:val="16"/>
      </w:rPr>
      <w:fldChar w:fldCharType="separate"/>
    </w:r>
    <w:r w:rsidR="002A67B1">
      <w:rPr>
        <w:noProof/>
        <w:color w:val="333333"/>
        <w:sz w:val="16"/>
        <w:szCs w:val="16"/>
      </w:rPr>
      <w:t>1</w:t>
    </w:r>
    <w:r>
      <w:rPr>
        <w:color w:val="333333"/>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470" w:rsidRDefault="00E93470">
      <w:r>
        <w:separator/>
      </w:r>
    </w:p>
  </w:footnote>
  <w:footnote w:type="continuationSeparator" w:id="0">
    <w:p w:rsidR="00E93470" w:rsidRDefault="00E934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501ED"/>
    <w:multiLevelType w:val="hybridMultilevel"/>
    <w:tmpl w:val="116817F6"/>
    <w:lvl w:ilvl="0" w:tplc="0409000B">
      <w:start w:val="1"/>
      <w:numFmt w:val="bullet"/>
      <w:lvlText w:val=""/>
      <w:lvlJc w:val="left"/>
      <w:pPr>
        <w:ind w:left="540" w:hanging="360"/>
      </w:pPr>
      <w:rPr>
        <w:rFonts w:ascii="Wingdings" w:hAnsi="Wingdings" w:hint="default"/>
      </w:rPr>
    </w:lvl>
    <w:lvl w:ilvl="1" w:tplc="59463E3A">
      <w:numFmt w:val="decimal"/>
      <w:lvlText w:val=""/>
      <w:lvlJc w:val="left"/>
    </w:lvl>
    <w:lvl w:ilvl="2" w:tplc="8A8CADF4">
      <w:numFmt w:val="decimal"/>
      <w:lvlText w:val=""/>
      <w:lvlJc w:val="left"/>
    </w:lvl>
    <w:lvl w:ilvl="3" w:tplc="0EDE9FC0">
      <w:numFmt w:val="decimal"/>
      <w:lvlText w:val=""/>
      <w:lvlJc w:val="left"/>
    </w:lvl>
    <w:lvl w:ilvl="4" w:tplc="12B4D1B2">
      <w:numFmt w:val="decimal"/>
      <w:lvlText w:val=""/>
      <w:lvlJc w:val="left"/>
    </w:lvl>
    <w:lvl w:ilvl="5" w:tplc="230CFB1C">
      <w:numFmt w:val="decimal"/>
      <w:lvlText w:val=""/>
      <w:lvlJc w:val="left"/>
    </w:lvl>
    <w:lvl w:ilvl="6" w:tplc="291A3D70">
      <w:numFmt w:val="decimal"/>
      <w:lvlText w:val=""/>
      <w:lvlJc w:val="left"/>
    </w:lvl>
    <w:lvl w:ilvl="7" w:tplc="498CFE86">
      <w:numFmt w:val="decimal"/>
      <w:lvlText w:val=""/>
      <w:lvlJc w:val="left"/>
    </w:lvl>
    <w:lvl w:ilvl="8" w:tplc="E39C570A">
      <w:numFmt w:val="decimal"/>
      <w:lvlText w:val=""/>
      <w:lvlJc w:val="left"/>
    </w:lvl>
  </w:abstractNum>
  <w:abstractNum w:abstractNumId="1" w15:restartNumberingAfterBreak="0">
    <w:nsid w:val="19AD2F8E"/>
    <w:multiLevelType w:val="hybridMultilevel"/>
    <w:tmpl w:val="35126130"/>
    <w:lvl w:ilvl="0" w:tplc="0409000B">
      <w:start w:val="1"/>
      <w:numFmt w:val="bullet"/>
      <w:lvlText w:val=""/>
      <w:lvlJc w:val="left"/>
      <w:pPr>
        <w:ind w:left="540" w:hanging="360"/>
      </w:pPr>
      <w:rPr>
        <w:rFonts w:ascii="Wingdings" w:hAnsi="Wingdings" w:hint="default"/>
      </w:rPr>
    </w:lvl>
    <w:lvl w:ilvl="1" w:tplc="59463E3A">
      <w:numFmt w:val="decimal"/>
      <w:lvlText w:val=""/>
      <w:lvlJc w:val="left"/>
    </w:lvl>
    <w:lvl w:ilvl="2" w:tplc="8A8CADF4">
      <w:numFmt w:val="decimal"/>
      <w:lvlText w:val=""/>
      <w:lvlJc w:val="left"/>
    </w:lvl>
    <w:lvl w:ilvl="3" w:tplc="0EDE9FC0">
      <w:numFmt w:val="decimal"/>
      <w:lvlText w:val=""/>
      <w:lvlJc w:val="left"/>
    </w:lvl>
    <w:lvl w:ilvl="4" w:tplc="12B4D1B2">
      <w:numFmt w:val="decimal"/>
      <w:lvlText w:val=""/>
      <w:lvlJc w:val="left"/>
    </w:lvl>
    <w:lvl w:ilvl="5" w:tplc="230CFB1C">
      <w:numFmt w:val="decimal"/>
      <w:lvlText w:val=""/>
      <w:lvlJc w:val="left"/>
    </w:lvl>
    <w:lvl w:ilvl="6" w:tplc="291A3D70">
      <w:numFmt w:val="decimal"/>
      <w:lvlText w:val=""/>
      <w:lvlJc w:val="left"/>
    </w:lvl>
    <w:lvl w:ilvl="7" w:tplc="498CFE86">
      <w:numFmt w:val="decimal"/>
      <w:lvlText w:val=""/>
      <w:lvlJc w:val="left"/>
    </w:lvl>
    <w:lvl w:ilvl="8" w:tplc="E39C570A">
      <w:numFmt w:val="decimal"/>
      <w:lvlText w:val=""/>
      <w:lvlJc w:val="left"/>
    </w:lvl>
  </w:abstractNum>
  <w:abstractNum w:abstractNumId="2" w15:restartNumberingAfterBreak="0">
    <w:nsid w:val="234F44A5"/>
    <w:multiLevelType w:val="hybridMultilevel"/>
    <w:tmpl w:val="298AF53C"/>
    <w:lvl w:ilvl="0" w:tplc="0409000B">
      <w:start w:val="1"/>
      <w:numFmt w:val="bullet"/>
      <w:lvlText w:val=""/>
      <w:lvlJc w:val="left"/>
      <w:pPr>
        <w:ind w:left="540" w:hanging="360"/>
      </w:pPr>
      <w:rPr>
        <w:rFonts w:ascii="Wingdings" w:hAnsi="Wingdings" w:hint="default"/>
      </w:rPr>
    </w:lvl>
    <w:lvl w:ilvl="1" w:tplc="59463E3A">
      <w:numFmt w:val="decimal"/>
      <w:lvlText w:val=""/>
      <w:lvlJc w:val="left"/>
    </w:lvl>
    <w:lvl w:ilvl="2" w:tplc="8A8CADF4">
      <w:numFmt w:val="decimal"/>
      <w:lvlText w:val=""/>
      <w:lvlJc w:val="left"/>
    </w:lvl>
    <w:lvl w:ilvl="3" w:tplc="0EDE9FC0">
      <w:numFmt w:val="decimal"/>
      <w:lvlText w:val=""/>
      <w:lvlJc w:val="left"/>
    </w:lvl>
    <w:lvl w:ilvl="4" w:tplc="12B4D1B2">
      <w:numFmt w:val="decimal"/>
      <w:lvlText w:val=""/>
      <w:lvlJc w:val="left"/>
    </w:lvl>
    <w:lvl w:ilvl="5" w:tplc="230CFB1C">
      <w:numFmt w:val="decimal"/>
      <w:lvlText w:val=""/>
      <w:lvlJc w:val="left"/>
    </w:lvl>
    <w:lvl w:ilvl="6" w:tplc="291A3D70">
      <w:numFmt w:val="decimal"/>
      <w:lvlText w:val=""/>
      <w:lvlJc w:val="left"/>
    </w:lvl>
    <w:lvl w:ilvl="7" w:tplc="498CFE86">
      <w:numFmt w:val="decimal"/>
      <w:lvlText w:val=""/>
      <w:lvlJc w:val="left"/>
    </w:lvl>
    <w:lvl w:ilvl="8" w:tplc="E39C570A">
      <w:numFmt w:val="decimal"/>
      <w:lvlText w:val=""/>
      <w:lvlJc w:val="left"/>
    </w:lvl>
  </w:abstractNum>
  <w:abstractNum w:abstractNumId="3" w15:restartNumberingAfterBreak="0">
    <w:nsid w:val="3CA972E5"/>
    <w:multiLevelType w:val="hybridMultilevel"/>
    <w:tmpl w:val="2D00D156"/>
    <w:lvl w:ilvl="0" w:tplc="0409000B">
      <w:start w:val="1"/>
      <w:numFmt w:val="bullet"/>
      <w:lvlText w:val=""/>
      <w:lvlJc w:val="left"/>
      <w:pPr>
        <w:ind w:left="540" w:hanging="360"/>
      </w:pPr>
      <w:rPr>
        <w:rFonts w:ascii="Wingdings" w:hAnsi="Wingdings" w:hint="default"/>
      </w:rPr>
    </w:lvl>
    <w:lvl w:ilvl="1" w:tplc="59463E3A">
      <w:numFmt w:val="decimal"/>
      <w:lvlText w:val=""/>
      <w:lvlJc w:val="left"/>
    </w:lvl>
    <w:lvl w:ilvl="2" w:tplc="8A8CADF4">
      <w:numFmt w:val="decimal"/>
      <w:lvlText w:val=""/>
      <w:lvlJc w:val="left"/>
    </w:lvl>
    <w:lvl w:ilvl="3" w:tplc="0EDE9FC0">
      <w:numFmt w:val="decimal"/>
      <w:lvlText w:val=""/>
      <w:lvlJc w:val="left"/>
    </w:lvl>
    <w:lvl w:ilvl="4" w:tplc="12B4D1B2">
      <w:numFmt w:val="decimal"/>
      <w:lvlText w:val=""/>
      <w:lvlJc w:val="left"/>
    </w:lvl>
    <w:lvl w:ilvl="5" w:tplc="230CFB1C">
      <w:numFmt w:val="decimal"/>
      <w:lvlText w:val=""/>
      <w:lvlJc w:val="left"/>
    </w:lvl>
    <w:lvl w:ilvl="6" w:tplc="291A3D70">
      <w:numFmt w:val="decimal"/>
      <w:lvlText w:val=""/>
      <w:lvlJc w:val="left"/>
    </w:lvl>
    <w:lvl w:ilvl="7" w:tplc="498CFE86">
      <w:numFmt w:val="decimal"/>
      <w:lvlText w:val=""/>
      <w:lvlJc w:val="left"/>
    </w:lvl>
    <w:lvl w:ilvl="8" w:tplc="E39C570A">
      <w:numFmt w:val="decimal"/>
      <w:lvlText w:val=""/>
      <w:lvlJc w:val="left"/>
    </w:lvl>
  </w:abstractNum>
  <w:abstractNum w:abstractNumId="4" w15:restartNumberingAfterBreak="0">
    <w:nsid w:val="491E3EBE"/>
    <w:multiLevelType w:val="hybridMultilevel"/>
    <w:tmpl w:val="70224C22"/>
    <w:lvl w:ilvl="0" w:tplc="0409000B">
      <w:start w:val="1"/>
      <w:numFmt w:val="bullet"/>
      <w:lvlText w:val=""/>
      <w:lvlJc w:val="left"/>
      <w:pPr>
        <w:ind w:left="540" w:hanging="360"/>
      </w:pPr>
      <w:rPr>
        <w:rFonts w:ascii="Wingdings" w:hAnsi="Wingdings" w:hint="default"/>
      </w:rPr>
    </w:lvl>
    <w:lvl w:ilvl="1" w:tplc="59463E3A">
      <w:numFmt w:val="decimal"/>
      <w:lvlText w:val=""/>
      <w:lvlJc w:val="left"/>
    </w:lvl>
    <w:lvl w:ilvl="2" w:tplc="8A8CADF4">
      <w:numFmt w:val="decimal"/>
      <w:lvlText w:val=""/>
      <w:lvlJc w:val="left"/>
    </w:lvl>
    <w:lvl w:ilvl="3" w:tplc="0EDE9FC0">
      <w:numFmt w:val="decimal"/>
      <w:lvlText w:val=""/>
      <w:lvlJc w:val="left"/>
    </w:lvl>
    <w:lvl w:ilvl="4" w:tplc="12B4D1B2">
      <w:numFmt w:val="decimal"/>
      <w:lvlText w:val=""/>
      <w:lvlJc w:val="left"/>
    </w:lvl>
    <w:lvl w:ilvl="5" w:tplc="230CFB1C">
      <w:numFmt w:val="decimal"/>
      <w:lvlText w:val=""/>
      <w:lvlJc w:val="left"/>
    </w:lvl>
    <w:lvl w:ilvl="6" w:tplc="291A3D70">
      <w:numFmt w:val="decimal"/>
      <w:lvlText w:val=""/>
      <w:lvlJc w:val="left"/>
    </w:lvl>
    <w:lvl w:ilvl="7" w:tplc="498CFE86">
      <w:numFmt w:val="decimal"/>
      <w:lvlText w:val=""/>
      <w:lvlJc w:val="left"/>
    </w:lvl>
    <w:lvl w:ilvl="8" w:tplc="E39C570A">
      <w:numFmt w:val="decimal"/>
      <w:lvlText w:val=""/>
      <w:lvlJc w:val="left"/>
    </w:lvl>
  </w:abstractNum>
  <w:abstractNum w:abstractNumId="5" w15:restartNumberingAfterBreak="0">
    <w:nsid w:val="650F3386"/>
    <w:multiLevelType w:val="hybridMultilevel"/>
    <w:tmpl w:val="BD52809A"/>
    <w:lvl w:ilvl="0" w:tplc="0409000B">
      <w:start w:val="1"/>
      <w:numFmt w:val="bullet"/>
      <w:lvlText w:val=""/>
      <w:lvlJc w:val="left"/>
      <w:pPr>
        <w:ind w:left="540" w:hanging="360"/>
      </w:pPr>
      <w:rPr>
        <w:rFonts w:ascii="Wingdings" w:hAnsi="Wingdings" w:hint="default"/>
      </w:rPr>
    </w:lvl>
    <w:lvl w:ilvl="1" w:tplc="59463E3A">
      <w:numFmt w:val="decimal"/>
      <w:lvlText w:val=""/>
      <w:lvlJc w:val="left"/>
    </w:lvl>
    <w:lvl w:ilvl="2" w:tplc="8A8CADF4">
      <w:numFmt w:val="decimal"/>
      <w:lvlText w:val=""/>
      <w:lvlJc w:val="left"/>
    </w:lvl>
    <w:lvl w:ilvl="3" w:tplc="0EDE9FC0">
      <w:numFmt w:val="decimal"/>
      <w:lvlText w:val=""/>
      <w:lvlJc w:val="left"/>
    </w:lvl>
    <w:lvl w:ilvl="4" w:tplc="12B4D1B2">
      <w:numFmt w:val="decimal"/>
      <w:lvlText w:val=""/>
      <w:lvlJc w:val="left"/>
    </w:lvl>
    <w:lvl w:ilvl="5" w:tplc="230CFB1C">
      <w:numFmt w:val="decimal"/>
      <w:lvlText w:val=""/>
      <w:lvlJc w:val="left"/>
    </w:lvl>
    <w:lvl w:ilvl="6" w:tplc="291A3D70">
      <w:numFmt w:val="decimal"/>
      <w:lvlText w:val=""/>
      <w:lvlJc w:val="left"/>
    </w:lvl>
    <w:lvl w:ilvl="7" w:tplc="498CFE86">
      <w:numFmt w:val="decimal"/>
      <w:lvlText w:val=""/>
      <w:lvlJc w:val="left"/>
    </w:lvl>
    <w:lvl w:ilvl="8" w:tplc="E39C570A">
      <w:numFmt w:val="decimal"/>
      <w:lvlText w:val=""/>
      <w:lvlJc w:val="left"/>
    </w:lvl>
  </w:abstractNum>
  <w:abstractNum w:abstractNumId="6" w15:restartNumberingAfterBreak="0">
    <w:nsid w:val="693A14BE"/>
    <w:multiLevelType w:val="hybridMultilevel"/>
    <w:tmpl w:val="04B28F1E"/>
    <w:lvl w:ilvl="0" w:tplc="FE36EF54">
      <w:start w:val="1"/>
      <w:numFmt w:val="bullet"/>
      <w:lvlText w:val="●"/>
      <w:lvlJc w:val="left"/>
      <w:pPr>
        <w:ind w:left="720" w:hanging="360"/>
      </w:pPr>
    </w:lvl>
    <w:lvl w:ilvl="1" w:tplc="154429FA">
      <w:start w:val="1"/>
      <w:numFmt w:val="bullet"/>
      <w:lvlText w:val="○"/>
      <w:lvlJc w:val="left"/>
      <w:pPr>
        <w:ind w:left="1440" w:hanging="360"/>
      </w:pPr>
    </w:lvl>
    <w:lvl w:ilvl="2" w:tplc="E4D6A1A4">
      <w:start w:val="1"/>
      <w:numFmt w:val="bullet"/>
      <w:lvlText w:val="■"/>
      <w:lvlJc w:val="left"/>
      <w:pPr>
        <w:ind w:left="2160" w:hanging="360"/>
      </w:pPr>
    </w:lvl>
    <w:lvl w:ilvl="3" w:tplc="7F6CE3B0">
      <w:start w:val="1"/>
      <w:numFmt w:val="bullet"/>
      <w:lvlText w:val="●"/>
      <w:lvlJc w:val="left"/>
      <w:pPr>
        <w:ind w:left="2880" w:hanging="360"/>
      </w:pPr>
    </w:lvl>
    <w:lvl w:ilvl="4" w:tplc="78BC20E8">
      <w:start w:val="1"/>
      <w:numFmt w:val="bullet"/>
      <w:lvlText w:val="○"/>
      <w:lvlJc w:val="left"/>
      <w:pPr>
        <w:ind w:left="3600" w:hanging="360"/>
      </w:pPr>
    </w:lvl>
    <w:lvl w:ilvl="5" w:tplc="B92C7556">
      <w:start w:val="1"/>
      <w:numFmt w:val="bullet"/>
      <w:lvlText w:val="■"/>
      <w:lvlJc w:val="left"/>
      <w:pPr>
        <w:ind w:left="4320" w:hanging="360"/>
      </w:pPr>
    </w:lvl>
    <w:lvl w:ilvl="6" w:tplc="C23E6E72">
      <w:start w:val="1"/>
      <w:numFmt w:val="bullet"/>
      <w:lvlText w:val="●"/>
      <w:lvlJc w:val="left"/>
      <w:pPr>
        <w:ind w:left="5040" w:hanging="360"/>
      </w:pPr>
    </w:lvl>
    <w:lvl w:ilvl="7" w:tplc="791475BA">
      <w:start w:val="1"/>
      <w:numFmt w:val="bullet"/>
      <w:lvlText w:val="●"/>
      <w:lvlJc w:val="left"/>
      <w:pPr>
        <w:ind w:left="5760" w:hanging="360"/>
      </w:pPr>
    </w:lvl>
    <w:lvl w:ilvl="8" w:tplc="D144CE12">
      <w:start w:val="1"/>
      <w:numFmt w:val="bullet"/>
      <w:lvlText w:val="●"/>
      <w:lvlJc w:val="left"/>
      <w:pPr>
        <w:ind w:left="6480" w:hanging="360"/>
      </w:pPr>
    </w:lvl>
  </w:abstractNum>
  <w:abstractNum w:abstractNumId="7" w15:restartNumberingAfterBreak="0">
    <w:nsid w:val="75EE086B"/>
    <w:multiLevelType w:val="hybridMultilevel"/>
    <w:tmpl w:val="2E04C866"/>
    <w:lvl w:ilvl="0" w:tplc="0409000B">
      <w:start w:val="1"/>
      <w:numFmt w:val="bullet"/>
      <w:lvlText w:val=""/>
      <w:lvlJc w:val="left"/>
      <w:pPr>
        <w:ind w:left="540" w:hanging="360"/>
      </w:pPr>
      <w:rPr>
        <w:rFonts w:ascii="Wingdings" w:hAnsi="Wingdings" w:hint="default"/>
      </w:rPr>
    </w:lvl>
    <w:lvl w:ilvl="1" w:tplc="59463E3A">
      <w:numFmt w:val="decimal"/>
      <w:lvlText w:val=""/>
      <w:lvlJc w:val="left"/>
    </w:lvl>
    <w:lvl w:ilvl="2" w:tplc="8A8CADF4">
      <w:numFmt w:val="decimal"/>
      <w:lvlText w:val=""/>
      <w:lvlJc w:val="left"/>
    </w:lvl>
    <w:lvl w:ilvl="3" w:tplc="0EDE9FC0">
      <w:numFmt w:val="decimal"/>
      <w:lvlText w:val=""/>
      <w:lvlJc w:val="left"/>
    </w:lvl>
    <w:lvl w:ilvl="4" w:tplc="12B4D1B2">
      <w:numFmt w:val="decimal"/>
      <w:lvlText w:val=""/>
      <w:lvlJc w:val="left"/>
    </w:lvl>
    <w:lvl w:ilvl="5" w:tplc="230CFB1C">
      <w:numFmt w:val="decimal"/>
      <w:lvlText w:val=""/>
      <w:lvlJc w:val="left"/>
    </w:lvl>
    <w:lvl w:ilvl="6" w:tplc="291A3D70">
      <w:numFmt w:val="decimal"/>
      <w:lvlText w:val=""/>
      <w:lvlJc w:val="left"/>
    </w:lvl>
    <w:lvl w:ilvl="7" w:tplc="498CFE86">
      <w:numFmt w:val="decimal"/>
      <w:lvlText w:val=""/>
      <w:lvlJc w:val="left"/>
    </w:lvl>
    <w:lvl w:ilvl="8" w:tplc="E39C570A">
      <w:numFmt w:val="decimal"/>
      <w:lvlText w:val=""/>
      <w:lvlJc w:val="left"/>
    </w:lvl>
  </w:abstractNum>
  <w:num w:numId="1">
    <w:abstractNumId w:val="6"/>
    <w:lvlOverride w:ilvl="0">
      <w:startOverride w:val="1"/>
    </w:lvlOverride>
  </w:num>
  <w:num w:numId="2">
    <w:abstractNumId w:val="2"/>
  </w:num>
  <w:num w:numId="3">
    <w:abstractNumId w:val="2"/>
  </w:num>
  <w:num w:numId="4">
    <w:abstractNumId w:val="3"/>
  </w:num>
  <w:num w:numId="5">
    <w:abstractNumId w:val="1"/>
  </w:num>
  <w:num w:numId="6">
    <w:abstractNumId w:val="7"/>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62B"/>
    <w:rsid w:val="000E5D72"/>
    <w:rsid w:val="002A67B1"/>
    <w:rsid w:val="004A0807"/>
    <w:rsid w:val="0066549F"/>
    <w:rsid w:val="007C762B"/>
    <w:rsid w:val="00975E5C"/>
    <w:rsid w:val="00A57777"/>
    <w:rsid w:val="00E2123A"/>
    <w:rsid w:val="00E93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29639"/>
  <w15:docId w15:val="{7F53C19F-171D-4E05-991D-DDEB7833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Gothic" w:eastAsia="Century Gothic" w:hAnsi="Century Gothic" w:cs="Century Gothic"/>
        <w:color w:val="000000"/>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4A0807"/>
    <w:pPr>
      <w:tabs>
        <w:tab w:val="center" w:pos="4680"/>
        <w:tab w:val="right" w:pos="9360"/>
      </w:tabs>
    </w:pPr>
  </w:style>
  <w:style w:type="character" w:customStyle="1" w:styleId="HeaderChar">
    <w:name w:val="Header Char"/>
    <w:basedOn w:val="DefaultParagraphFont"/>
    <w:link w:val="Header"/>
    <w:uiPriority w:val="99"/>
    <w:rsid w:val="004A0807"/>
  </w:style>
  <w:style w:type="paragraph" w:styleId="Footer">
    <w:name w:val="footer"/>
    <w:basedOn w:val="Normal"/>
    <w:link w:val="FooterChar"/>
    <w:uiPriority w:val="99"/>
    <w:unhideWhenUsed/>
    <w:rsid w:val="004A0807"/>
    <w:pPr>
      <w:tabs>
        <w:tab w:val="center" w:pos="4680"/>
        <w:tab w:val="right" w:pos="9360"/>
      </w:tabs>
    </w:pPr>
  </w:style>
  <w:style w:type="character" w:customStyle="1" w:styleId="FooterChar">
    <w:name w:val="Footer Char"/>
    <w:basedOn w:val="DefaultParagraphFont"/>
    <w:link w:val="Footer"/>
    <w:uiPriority w:val="99"/>
    <w:rsid w:val="004A0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2877</Words>
  <Characters>16402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Tonia Papke</cp:lastModifiedBy>
  <cp:revision>3</cp:revision>
  <dcterms:created xsi:type="dcterms:W3CDTF">2026-05-26T17:32:00Z</dcterms:created>
  <dcterms:modified xsi:type="dcterms:W3CDTF">2026-05-26T17:35:00Z</dcterms:modified>
</cp:coreProperties>
</file>